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DD" w:rsidRDefault="009F676A">
      <w:r>
        <w:rPr>
          <w:rFonts w:ascii="Times New Roman" w:hAnsi="Times New Roman" w:cs="Times New Roman"/>
          <w:bCs/>
          <w:sz w:val="20"/>
          <w:szCs w:val="20"/>
        </w:rPr>
        <w:t>Tabela</w:t>
      </w:r>
      <w:r w:rsidRPr="00AD04A4">
        <w:rPr>
          <w:rFonts w:ascii="Times New Roman" w:hAnsi="Times New Roman" w:cs="Times New Roman"/>
          <w:bCs/>
          <w:sz w:val="20"/>
          <w:szCs w:val="20"/>
        </w:rPr>
        <w:t xml:space="preserve"> I: Alterações farmacocinéticas e farmacodinâmicas no idoso e implicações anestésicas</w:t>
      </w:r>
    </w:p>
    <w:tbl>
      <w:tblPr>
        <w:tblStyle w:val="TabeladeLista2-Destaque31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411"/>
        <w:gridCol w:w="3261"/>
        <w:gridCol w:w="4677"/>
      </w:tblGrid>
      <w:tr w:rsidR="009F676A" w:rsidRPr="00E949DB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9F676A" w:rsidRPr="00E949DB" w:rsidRDefault="009F676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FARMACOCINÊTICA/</w:t>
            </w:r>
          </w:p>
          <w:p w:rsidR="009F676A" w:rsidRPr="00E949DB" w:rsidRDefault="009F676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FARMACODINÂMICA</w:t>
            </w:r>
          </w:p>
        </w:tc>
        <w:tc>
          <w:tcPr>
            <w:tcW w:w="3261" w:type="dxa"/>
          </w:tcPr>
          <w:p w:rsidR="009F676A" w:rsidRPr="00E949DB" w:rsidRDefault="009F676A" w:rsidP="00353B1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ALTERAÇÕES</w:t>
            </w:r>
          </w:p>
        </w:tc>
        <w:tc>
          <w:tcPr>
            <w:tcW w:w="4677" w:type="dxa"/>
          </w:tcPr>
          <w:p w:rsidR="009F676A" w:rsidRPr="00E949DB" w:rsidRDefault="009F676A" w:rsidP="00353B1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IMPLICAÇÕES ANESTÉSICAS</w:t>
            </w:r>
          </w:p>
        </w:tc>
      </w:tr>
      <w:tr w:rsidR="009F676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9F676A" w:rsidRPr="00E949DB" w:rsidRDefault="009F676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DISTRIBUIÇÃO</w:t>
            </w:r>
          </w:p>
        </w:tc>
        <w:tc>
          <w:tcPr>
            <w:tcW w:w="3261" w:type="dxa"/>
          </w:tcPr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-↓DC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↓V do compartimento central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-Composição corporal: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↓massa muscular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↑gordura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↓ água corporal total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-↓albumina (↓da ligação proteica dos fármacos ácidos)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-↑α1-glicoproteina (↓da ligação proteica dos fármacos básicos)</w:t>
            </w:r>
          </w:p>
        </w:tc>
        <w:tc>
          <w:tcPr>
            <w:tcW w:w="4677" w:type="dxa"/>
          </w:tcPr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-↑tempo de circulação→↑tempo de início de ação dos fármacos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+↓início de ação dos fármacos inalatórios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 pico de concentração após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bólus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proofErr w:type="spellEnd"/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Vd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fármacos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lipofílicos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→↑t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1/2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Vd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fármacos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hidrofílicos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→↑potência após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bólus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proofErr w:type="spellEnd"/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 ↑ fração livre dos fármacos com perfil ácido→↑ potência após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bólus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p.e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propofol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 fração livre dos fármacos com perfil básicos→↓ toxicidade (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p.e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lidocaina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F676A" w:rsidRPr="00E949DB" w:rsidTr="00353B11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9F676A" w:rsidRPr="00E949DB" w:rsidRDefault="009F676A" w:rsidP="00353B11">
            <w:pPr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METABOLISMO E ELIMINAÇÃO</w:t>
            </w:r>
          </w:p>
        </w:tc>
        <w:tc>
          <w:tcPr>
            <w:tcW w:w="3261" w:type="dxa"/>
          </w:tcPr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-↓fluxo hepático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-↓metabolismo de fase I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clearance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dos fármacos de alta EH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-↓fluxo renal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-↓TFG</w:t>
            </w:r>
          </w:p>
        </w:tc>
        <w:tc>
          <w:tcPr>
            <w:tcW w:w="4677" w:type="dxa"/>
          </w:tcPr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-↑t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1/2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dos fármacos com alta EH (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propofol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opoides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-↑ligeiro dos fármacos metabolizados no fígado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 t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1/2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dos fármacos com eliminação renal (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opioides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, relaxantes musculares)</w:t>
            </w:r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-↑dos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metabólitos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activos</w:t>
            </w:r>
            <w:proofErr w:type="spellEnd"/>
          </w:p>
          <w:p w:rsidR="009F676A" w:rsidRPr="00E949DB" w:rsidRDefault="009F676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de toxicidade do fármaco</w:t>
            </w:r>
          </w:p>
        </w:tc>
      </w:tr>
      <w:tr w:rsidR="009F676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9F676A" w:rsidRPr="00E949DB" w:rsidRDefault="009F676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FARMACODINÂMICA</w:t>
            </w:r>
          </w:p>
        </w:tc>
        <w:tc>
          <w:tcPr>
            <w:tcW w:w="3261" w:type="dxa"/>
          </w:tcPr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 ↓neurónios a nível central e periférica +↓substância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branca+mielina</w:t>
            </w:r>
            <w:proofErr w:type="spellEnd"/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-↓da resposta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homeostática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que tende a preservar a função normal</w:t>
            </w:r>
          </w:p>
        </w:tc>
        <w:tc>
          <w:tcPr>
            <w:tcW w:w="4677" w:type="dxa"/>
          </w:tcPr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-↑sensibilidade aos anestésicos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, inalatórios e AL</w:t>
            </w: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6A" w:rsidRPr="00E949DB" w:rsidRDefault="009F676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-↑incidência de efeitos 2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arios</w:t>
            </w:r>
          </w:p>
        </w:tc>
      </w:tr>
    </w:tbl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/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pPr>
        <w:rPr>
          <w:rFonts w:ascii="Times New Roman" w:hAnsi="Times New Roman" w:cs="Times New Roman"/>
          <w:bCs/>
          <w:sz w:val="20"/>
          <w:szCs w:val="20"/>
        </w:rPr>
      </w:pPr>
    </w:p>
    <w:p w:rsidR="009F676A" w:rsidRDefault="009F676A">
      <w:bookmarkStart w:id="0" w:name="_GoBack"/>
      <w:bookmarkEnd w:id="0"/>
    </w:p>
    <w:sectPr w:rsidR="009F676A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A"/>
    <w:rsid w:val="002D322B"/>
    <w:rsid w:val="008D0CDD"/>
    <w:rsid w:val="009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Lista2-Destaque31">
    <w:name w:val="Tabela de Lista 2 - Destaque 31"/>
    <w:basedOn w:val="TableNormal"/>
    <w:uiPriority w:val="47"/>
    <w:rsid w:val="009F676A"/>
    <w:pPr>
      <w:jc w:val="both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Lista2-Destaque31">
    <w:name w:val="Tabela de Lista 2 - Destaque 31"/>
    <w:basedOn w:val="TableNormal"/>
    <w:uiPriority w:val="47"/>
    <w:rsid w:val="009F676A"/>
    <w:pPr>
      <w:jc w:val="both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Macintosh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2016-10-28T14:20:00Z</dcterms:created>
  <dcterms:modified xsi:type="dcterms:W3CDTF">2016-10-28T14:29:00Z</dcterms:modified>
</cp:coreProperties>
</file>