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23" w:rsidRPr="00AD04A4" w:rsidRDefault="004E1F23" w:rsidP="004E1F23">
      <w:pPr>
        <w:widowControl w:val="0"/>
        <w:autoSpaceDE w:val="0"/>
        <w:autoSpaceDN w:val="0"/>
        <w:adjustRightInd w:val="0"/>
        <w:spacing w:after="0" w:line="235" w:lineRule="auto"/>
        <w:ind w:left="-142" w:right="-63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Tabela III </w:t>
      </w:r>
      <w:r w:rsidRPr="00AD04A4">
        <w:rPr>
          <w:rFonts w:ascii="Times New Roman" w:hAnsi="Times New Roman" w:cs="Times New Roman"/>
          <w:bCs/>
          <w:sz w:val="20"/>
          <w:szCs w:val="20"/>
        </w:rPr>
        <w:t xml:space="preserve">– Fatores de risco de delírio </w:t>
      </w:r>
      <w:r>
        <w:rPr>
          <w:rFonts w:ascii="Times New Roman" w:hAnsi="Times New Roman" w:cs="Times New Roman"/>
          <w:bCs/>
          <w:sz w:val="20"/>
          <w:szCs w:val="20"/>
        </w:rPr>
        <w:t xml:space="preserve">e </w:t>
      </w:r>
      <w:r w:rsidRPr="00AD04A4">
        <w:rPr>
          <w:rFonts w:ascii="Times New Roman" w:hAnsi="Times New Roman" w:cs="Times New Roman"/>
          <w:bCs/>
          <w:sz w:val="20"/>
          <w:szCs w:val="20"/>
        </w:rPr>
        <w:t>disfunção cognitiva pós-operatório</w:t>
      </w:r>
    </w:p>
    <w:p w:rsidR="008D0CDD" w:rsidRDefault="008D0CDD"/>
    <w:tbl>
      <w:tblPr>
        <w:tblStyle w:val="PlainTable5"/>
        <w:tblW w:w="7371" w:type="dxa"/>
        <w:tblLook w:val="0420" w:firstRow="1" w:lastRow="0" w:firstColumn="0" w:lastColumn="0" w:noHBand="0" w:noVBand="1"/>
      </w:tblPr>
      <w:tblGrid>
        <w:gridCol w:w="3686"/>
        <w:gridCol w:w="3685"/>
      </w:tblGrid>
      <w:tr w:rsidR="004E1F23" w:rsidRPr="008F24EE" w:rsidTr="00353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tcW w:w="3686" w:type="dxa"/>
          </w:tcPr>
          <w:p w:rsidR="004E1F23" w:rsidRPr="008F24EE" w:rsidRDefault="004E1F23" w:rsidP="00353B11">
            <w:pPr>
              <w:spacing w:after="0"/>
              <w:ind w:left="-142" w:right="-631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Modificáveis </w:t>
            </w:r>
            <w:proofErr w:type="spellStart"/>
            <w:r w:rsidRPr="008F24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</w:t>
            </w:r>
            <w:proofErr w:type="spellEnd"/>
            <w:r w:rsidRPr="008F24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-operatório</w:t>
            </w:r>
          </w:p>
        </w:tc>
        <w:tc>
          <w:tcPr>
            <w:tcW w:w="3685" w:type="dxa"/>
          </w:tcPr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Não modificáveis</w:t>
            </w:r>
          </w:p>
        </w:tc>
      </w:tr>
      <w:tr w:rsidR="004E1F23" w:rsidRPr="008F24EE" w:rsidTr="00353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0"/>
        </w:trPr>
        <w:tc>
          <w:tcPr>
            <w:tcW w:w="3686" w:type="dxa"/>
          </w:tcPr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Fármacos ativos no SNC</w:t>
            </w:r>
          </w:p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Hipotensão</w:t>
            </w:r>
          </w:p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 xml:space="preserve">Hipercapnia / </w:t>
            </w:r>
            <w:proofErr w:type="spellStart"/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Hipoxemia</w:t>
            </w:r>
            <w:proofErr w:type="spellEnd"/>
          </w:p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 xml:space="preserve">Alterações metabólicas </w:t>
            </w:r>
          </w:p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 xml:space="preserve">Dor (tratar e reduzir uso de </w:t>
            </w:r>
            <w:proofErr w:type="spellStart"/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opioides</w:t>
            </w:r>
            <w:proofErr w:type="spellEnd"/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Uso de contenção física</w:t>
            </w:r>
          </w:p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Privação sono</w:t>
            </w:r>
          </w:p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Privação sensitiva (visual e auditiva)</w:t>
            </w:r>
          </w:p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Privação de fármacos/drogas/álcool</w:t>
            </w:r>
          </w:p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Jejum prolongado</w:t>
            </w:r>
          </w:p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Tempos de internamento prolongados</w:t>
            </w:r>
          </w:p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Tempos de espera para cirurgia</w:t>
            </w:r>
          </w:p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 xml:space="preserve">Cirurgias complexas </w:t>
            </w:r>
          </w:p>
        </w:tc>
        <w:tc>
          <w:tcPr>
            <w:tcW w:w="3685" w:type="dxa"/>
          </w:tcPr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Idade avançada</w:t>
            </w:r>
          </w:p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Sexo feminino</w:t>
            </w:r>
          </w:p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Estado Físico ASA &gt; 3</w:t>
            </w:r>
          </w:p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Alterações cognitivas prévias</w:t>
            </w:r>
          </w:p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Doenças prévias (demência, depressão)</w:t>
            </w:r>
          </w:p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Baixo nível educacional</w:t>
            </w:r>
          </w:p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Polifarmácia</w:t>
            </w:r>
            <w:proofErr w:type="spellEnd"/>
          </w:p>
          <w:p w:rsidR="004E1F23" w:rsidRPr="008F24EE" w:rsidRDefault="004E1F23" w:rsidP="00353B11">
            <w:pPr>
              <w:spacing w:after="0"/>
              <w:ind w:right="-6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24EE">
              <w:rPr>
                <w:rFonts w:ascii="Times New Roman" w:hAnsi="Times New Roman" w:cs="Times New Roman"/>
                <w:sz w:val="20"/>
                <w:szCs w:val="20"/>
              </w:rPr>
              <w:t>Síndrome de fragilidade</w:t>
            </w:r>
          </w:p>
        </w:tc>
      </w:tr>
    </w:tbl>
    <w:p w:rsidR="004E1F23" w:rsidRDefault="004E1F23">
      <w:bookmarkStart w:id="0" w:name="_GoBack"/>
      <w:bookmarkEnd w:id="0"/>
    </w:p>
    <w:sectPr w:rsidR="004E1F23" w:rsidSect="002D32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23"/>
    <w:rsid w:val="002D322B"/>
    <w:rsid w:val="004E1F23"/>
    <w:rsid w:val="008D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A67D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F23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5">
    <w:name w:val="Plain Table 5"/>
    <w:basedOn w:val="TableNormal"/>
    <w:uiPriority w:val="45"/>
    <w:rsid w:val="004E1F23"/>
    <w:rPr>
      <w:rFonts w:eastAsiaTheme="minorHAns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F23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5">
    <w:name w:val="Plain Table 5"/>
    <w:basedOn w:val="TableNormal"/>
    <w:uiPriority w:val="45"/>
    <w:rsid w:val="004E1F23"/>
    <w:rPr>
      <w:rFonts w:eastAsiaTheme="minorHAns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Macintosh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</dc:creator>
  <cp:keywords/>
  <dc:description/>
  <cp:lastModifiedBy>Vicente</cp:lastModifiedBy>
  <cp:revision>1</cp:revision>
  <dcterms:created xsi:type="dcterms:W3CDTF">2016-10-28T14:32:00Z</dcterms:created>
  <dcterms:modified xsi:type="dcterms:W3CDTF">2016-10-28T14:33:00Z</dcterms:modified>
</cp:coreProperties>
</file>