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DD" w:rsidRDefault="00C81EEC">
      <w:pPr>
        <w:rPr>
          <w:rFonts w:ascii="Times New Roman" w:hAnsi="Times New Roman" w:cs="Times New Roman"/>
          <w:sz w:val="20"/>
          <w:szCs w:val="20"/>
        </w:rPr>
      </w:pPr>
      <w:r w:rsidRPr="00CF249B">
        <w:rPr>
          <w:rFonts w:ascii="Times New Roman" w:hAnsi="Times New Roman" w:cs="Times New Roman"/>
          <w:sz w:val="20"/>
          <w:szCs w:val="20"/>
        </w:rPr>
        <w:t xml:space="preserve">Tabela </w:t>
      </w:r>
      <w:r>
        <w:rPr>
          <w:rFonts w:ascii="Times New Roman" w:hAnsi="Times New Roman" w:cs="Times New Roman"/>
          <w:sz w:val="20"/>
          <w:szCs w:val="20"/>
        </w:rPr>
        <w:t>|I</w:t>
      </w:r>
      <w:r w:rsidRPr="00CF249B">
        <w:rPr>
          <w:rFonts w:ascii="Times New Roman" w:hAnsi="Times New Roman" w:cs="Times New Roman"/>
          <w:sz w:val="20"/>
          <w:szCs w:val="20"/>
        </w:rPr>
        <w:t>V- Técnicas anestésicas vantagens, desvantagens e particularidades</w:t>
      </w:r>
    </w:p>
    <w:p w:rsidR="00C81EEC" w:rsidRDefault="00C81E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elhaClara1"/>
        <w:tblW w:w="10257" w:type="dxa"/>
        <w:tblInd w:w="-431" w:type="dxa"/>
        <w:tblLayout w:type="fixed"/>
        <w:tblLook w:val="0420" w:firstRow="1" w:lastRow="0" w:firstColumn="0" w:lastColumn="0" w:noHBand="0" w:noVBand="1"/>
      </w:tblPr>
      <w:tblGrid>
        <w:gridCol w:w="428"/>
        <w:gridCol w:w="3419"/>
        <w:gridCol w:w="2507"/>
        <w:gridCol w:w="3903"/>
      </w:tblGrid>
      <w:tr w:rsidR="00C81EEC" w:rsidRPr="00494245" w:rsidTr="00353B11">
        <w:trPr>
          <w:trHeight w:val="196"/>
        </w:trPr>
        <w:tc>
          <w:tcPr>
            <w:tcW w:w="428" w:type="dxa"/>
            <w:shd w:val="clear" w:color="auto" w:fill="215868" w:themeFill="accent5" w:themeFillShade="80"/>
          </w:tcPr>
          <w:p w:rsidR="00C81EEC" w:rsidRPr="00494245" w:rsidRDefault="00C81EEC" w:rsidP="00353B11">
            <w:pPr>
              <w:rPr>
                <w:rFonts w:ascii="Times New Roman" w:eastAsia="Times New Roman" w:hAnsi="Times New Roman" w:cs="Times New Roman"/>
                <w:b/>
                <w:smallCaps/>
                <w:color w:val="FFFFFF" w:themeColor="background1"/>
                <w:sz w:val="16"/>
                <w:szCs w:val="16"/>
                <w:lang w:eastAsia="pt-PT"/>
              </w:rPr>
            </w:pPr>
          </w:p>
        </w:tc>
        <w:tc>
          <w:tcPr>
            <w:tcW w:w="3419" w:type="dxa"/>
            <w:shd w:val="clear" w:color="auto" w:fill="215868" w:themeFill="accent5" w:themeFillShade="80"/>
          </w:tcPr>
          <w:p w:rsidR="00C81EEC" w:rsidRPr="00494245" w:rsidRDefault="00C81EEC" w:rsidP="00353B11">
            <w:pPr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pt-PT"/>
              </w:rPr>
              <w:t>VANTAGENS</w:t>
            </w:r>
          </w:p>
        </w:tc>
        <w:tc>
          <w:tcPr>
            <w:tcW w:w="2507" w:type="dxa"/>
            <w:shd w:val="clear" w:color="auto" w:fill="215868" w:themeFill="accent5" w:themeFillShade="80"/>
          </w:tcPr>
          <w:p w:rsidR="00C81EEC" w:rsidRPr="00494245" w:rsidRDefault="00C81EEC" w:rsidP="00353B11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pt-PT"/>
              </w:rPr>
              <w:t>DESVANTAGENS</w:t>
            </w:r>
          </w:p>
        </w:tc>
        <w:tc>
          <w:tcPr>
            <w:tcW w:w="3903" w:type="dxa"/>
            <w:shd w:val="clear" w:color="auto" w:fill="215868" w:themeFill="accent5" w:themeFillShade="80"/>
          </w:tcPr>
          <w:p w:rsidR="00C81EEC" w:rsidRPr="00494245" w:rsidRDefault="00C81EEC" w:rsidP="00353B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pt-PT"/>
              </w:rPr>
              <w:t xml:space="preserve">TÉCNICA / </w:t>
            </w:r>
            <w:r w:rsidRPr="0049424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pt-PT"/>
              </w:rPr>
              <w:t>FÁRMACOS</w:t>
            </w:r>
          </w:p>
        </w:tc>
      </w:tr>
      <w:tr w:rsidR="00C81EEC" w:rsidRPr="00494245" w:rsidTr="00353B11">
        <w:trPr>
          <w:trHeight w:val="3479"/>
        </w:trPr>
        <w:tc>
          <w:tcPr>
            <w:tcW w:w="428" w:type="dxa"/>
            <w:shd w:val="clear" w:color="auto" w:fill="215868" w:themeFill="accent5" w:themeFillShade="80"/>
            <w:textDirection w:val="btLr"/>
          </w:tcPr>
          <w:p w:rsidR="00C81EEC" w:rsidRPr="00494245" w:rsidRDefault="00C81EEC" w:rsidP="00353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FFFFFF" w:themeColor="background1"/>
                <w:kern w:val="24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b/>
                <w:bCs/>
                <w:smallCaps/>
                <w:color w:val="FFFFFF" w:themeColor="background1"/>
                <w:kern w:val="24"/>
                <w:sz w:val="16"/>
                <w:szCs w:val="16"/>
                <w:lang w:eastAsia="pt-PT"/>
              </w:rPr>
              <w:t xml:space="preserve">Local /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FFFFFF" w:themeColor="background1"/>
                <w:kern w:val="24"/>
                <w:sz w:val="16"/>
                <w:szCs w:val="16"/>
                <w:lang w:eastAsia="pt-PT"/>
              </w:rPr>
              <w:t>R</w:t>
            </w:r>
            <w:r w:rsidRPr="00494245">
              <w:rPr>
                <w:rFonts w:ascii="Times New Roman" w:eastAsia="Times New Roman" w:hAnsi="Times New Roman" w:cs="Times New Roman"/>
                <w:b/>
                <w:bCs/>
                <w:smallCaps/>
                <w:color w:val="FFFFFF" w:themeColor="background1"/>
                <w:kern w:val="24"/>
                <w:sz w:val="16"/>
                <w:szCs w:val="16"/>
                <w:lang w:eastAsia="pt-PT"/>
              </w:rPr>
              <w:t>egional</w:t>
            </w:r>
          </w:p>
        </w:tc>
        <w:tc>
          <w:tcPr>
            <w:tcW w:w="3419" w:type="dxa"/>
          </w:tcPr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Seguras e eficazes sempre que exequíveis</w:t>
            </w:r>
            <w:r>
              <w:rPr>
                <w:rFonts w:ascii="Times New Roman" w:hAnsi="Times New Roman" w:cs="Times New Roman"/>
                <w:vertAlign w:val="superscript"/>
              </w:rPr>
              <w:t>55,60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Associadas a menos disfunção  respiratória  e cardiovascular</w:t>
            </w:r>
            <w:r>
              <w:rPr>
                <w:rFonts w:ascii="Times New Roman" w:hAnsi="Times New Roman" w:cs="Times New Roman"/>
                <w:vertAlign w:val="superscript"/>
              </w:rPr>
              <w:t>55,56,57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Evita o uso de relaxantes </w:t>
            </w:r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musculares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, hipnóticos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opióides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.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Evita a abordagem da via aérea</w:t>
            </w:r>
            <w:r>
              <w:rPr>
                <w:rFonts w:ascii="Times New Roman" w:hAnsi="Times New Roman" w:cs="Times New Roman"/>
                <w:vertAlign w:val="superscript"/>
              </w:rPr>
              <w:t>55,60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Permite analgesia multimodal e</w:t>
            </w:r>
            <w:r w:rsidRPr="00494245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↓ o uso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opióides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pós-op.</w:t>
            </w:r>
            <w:r>
              <w:rPr>
                <w:rFonts w:ascii="Times New Roman" w:hAnsi="Times New Roman" w:cs="Times New Roman"/>
                <w:vertAlign w:val="superscript"/>
              </w:rPr>
              <w:t>37,39,41,42,44,45,56,58,59,60,61,62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Menor incidência de NVPO</w:t>
            </w:r>
            <w:r>
              <w:rPr>
                <w:rFonts w:ascii="Times New Roman" w:hAnsi="Times New Roman" w:cs="Times New Roman"/>
                <w:vertAlign w:val="superscript"/>
              </w:rPr>
              <w:t>37,41, 55,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BNP associado a baixa incidência de complicações e possibilidade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by-pass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ao recobro de fase I</w:t>
            </w:r>
            <w:r>
              <w:rPr>
                <w:rFonts w:ascii="Times New Roman" w:hAnsi="Times New Roman" w:cs="Times New Roman"/>
                <w:vertAlign w:val="superscript"/>
              </w:rPr>
              <w:t>37,57,58,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Menor taxas de readmissão após alta</w:t>
            </w:r>
            <w:r>
              <w:rPr>
                <w:rFonts w:ascii="Times New Roman" w:hAnsi="Times New Roman" w:cs="Times New Roman"/>
                <w:vertAlign w:val="superscript"/>
              </w:rPr>
              <w:t>37, 55,57-59</w:t>
            </w:r>
          </w:p>
          <w:p w:rsidR="00C81EEC" w:rsidRPr="00CF249B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Menores custos e maior satisfação de doentes e família</w:t>
            </w:r>
            <w:r>
              <w:rPr>
                <w:rFonts w:ascii="Times New Roman" w:hAnsi="Times New Roman" w:cs="Times New Roman"/>
                <w:vertAlign w:val="superscript"/>
              </w:rPr>
              <w:t>56,57</w:t>
            </w:r>
          </w:p>
        </w:tc>
        <w:tc>
          <w:tcPr>
            <w:tcW w:w="2507" w:type="dxa"/>
          </w:tcPr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Difíceis tecnicamente pelas alterações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osteo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- articulares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Mais tempo de execução e inicio de ação Exige experiência do anestesiologista.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Maior risco de retenção urinária no bloqueio do neuroeixo</w:t>
            </w:r>
            <w:r>
              <w:rPr>
                <w:rFonts w:ascii="Times New Roman" w:hAnsi="Times New Roman" w:cs="Times New Roman"/>
                <w:vertAlign w:val="superscript"/>
              </w:rPr>
              <w:t>71,72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No BSA há maior risco de hipotensão neste grupo etário</w:t>
            </w:r>
            <w:r>
              <w:rPr>
                <w:rFonts w:ascii="Times New Roman" w:hAnsi="Times New Roman" w:cs="Times New Roman"/>
                <w:vertAlign w:val="superscript"/>
              </w:rPr>
              <w:t>5,37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Nos BNP recomenda-se técnica ecoguiada</w:t>
            </w:r>
            <w:r>
              <w:rPr>
                <w:rFonts w:ascii="Times New Roman" w:hAnsi="Times New Roman" w:cs="Times New Roman"/>
                <w:vertAlign w:val="superscript"/>
              </w:rPr>
              <w:t>55,60,61</w:t>
            </w:r>
          </w:p>
          <w:p w:rsidR="00C81EEC" w:rsidRPr="00494245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3903" w:type="dxa"/>
          </w:tcPr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Para bloqueio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subaracnoideu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recomenda-se mini-doses, lateralização do bloqueio, uso de bloqueio em sela</w:t>
            </w:r>
            <w:r>
              <w:rPr>
                <w:rFonts w:ascii="Times New Roman" w:hAnsi="Times New Roman" w:cs="Times New Roman"/>
                <w:vertAlign w:val="superscript"/>
              </w:rPr>
              <w:t>55,60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O bloqueio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subaracnoideu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é preferível ao bloqueio epidural</w:t>
            </w:r>
            <w:r>
              <w:rPr>
                <w:rFonts w:ascii="Times New Roman" w:hAnsi="Times New Roman" w:cs="Times New Roman"/>
                <w:vertAlign w:val="superscript"/>
              </w:rPr>
              <w:t>46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Nos Bloqueios de nervos periféricos recomenda-se a redução da dose (volume e concentração)</w:t>
            </w:r>
            <w:r>
              <w:rPr>
                <w:rFonts w:ascii="Times New Roman" w:hAnsi="Times New Roman" w:cs="Times New Roman"/>
                <w:vertAlign w:val="superscript"/>
              </w:rPr>
              <w:t>55,56,58,59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Preferir anestésicos de curta duração de ação</w:t>
            </w:r>
            <w:r>
              <w:rPr>
                <w:rFonts w:ascii="Times New Roman" w:hAnsi="Times New Roman" w:cs="Times New Roman"/>
                <w:vertAlign w:val="superscript"/>
              </w:rPr>
              <w:t>60,61,62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“</w:t>
            </w:r>
            <w:r w:rsidRPr="00FC02CC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Single </w:t>
            </w:r>
            <w:proofErr w:type="spellStart"/>
            <w:r w:rsidRPr="00FC02CC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shot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mais adequado que  bloqueio continuo</w:t>
            </w:r>
            <w:r>
              <w:rPr>
                <w:rFonts w:ascii="Times New Roman" w:hAnsi="Times New Roman" w:cs="Times New Roman"/>
                <w:vertAlign w:val="superscript"/>
              </w:rPr>
              <w:t>46,47,48,60,61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Evitar hipotensão</w:t>
            </w:r>
          </w:p>
          <w:p w:rsidR="00C81EEC" w:rsidRPr="00FC02C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Recomenda-se a existência de informação escrita com os cuidados após a alta</w:t>
            </w:r>
          </w:p>
        </w:tc>
      </w:tr>
      <w:tr w:rsidR="00C81EEC" w:rsidRPr="00494245" w:rsidTr="00353B11">
        <w:trPr>
          <w:trHeight w:val="977"/>
        </w:trPr>
        <w:tc>
          <w:tcPr>
            <w:tcW w:w="428" w:type="dxa"/>
            <w:shd w:val="clear" w:color="auto" w:fill="215868" w:themeFill="accent5" w:themeFillShade="80"/>
            <w:textDirection w:val="btLr"/>
          </w:tcPr>
          <w:p w:rsidR="00C81EEC" w:rsidRPr="00494245" w:rsidRDefault="00C81EEC" w:rsidP="00353B11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pt-PT"/>
              </w:rPr>
              <w:t>SEDAÇÃO</w:t>
            </w:r>
          </w:p>
        </w:tc>
        <w:tc>
          <w:tcPr>
            <w:tcW w:w="3419" w:type="dxa"/>
          </w:tcPr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Menor incidência de complicações.</w:t>
            </w:r>
          </w:p>
          <w:p w:rsidR="00C81EEC" w:rsidRPr="00494245" w:rsidRDefault="00C81EEC" w:rsidP="00353B1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Maior eficiência</w:t>
            </w:r>
          </w:p>
        </w:tc>
        <w:tc>
          <w:tcPr>
            <w:tcW w:w="2507" w:type="dxa"/>
          </w:tcPr>
          <w:p w:rsidR="00C81EEC" w:rsidRPr="00494245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Risco de depressão respiratória que obriga à monitorização da frequência respiratória, do ETCO2 e  da capnografia</w:t>
            </w:r>
            <w:r>
              <w:rPr>
                <w:rFonts w:ascii="Times New Roman" w:hAnsi="Times New Roman" w:cs="Times New Roman"/>
                <w:vertAlign w:val="superscript"/>
              </w:rPr>
              <w:t>37,42,46,47</w:t>
            </w:r>
          </w:p>
        </w:tc>
        <w:tc>
          <w:tcPr>
            <w:tcW w:w="3903" w:type="dxa"/>
          </w:tcPr>
          <w:p w:rsidR="00C81EEC" w:rsidRPr="00494245" w:rsidRDefault="00C81EEC" w:rsidP="00353B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Usar </w:t>
            </w:r>
            <w:proofErr w:type="spellStart"/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Propofol</w:t>
            </w:r>
            <w:proofErr w:type="spellEnd"/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ou </w:t>
            </w:r>
            <w:proofErr w:type="spellStart"/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Dexmedetomidina</w:t>
            </w:r>
            <w:proofErr w:type="spellEnd"/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37, 42,51,52,53</w:t>
            </w:r>
          </w:p>
          <w:p w:rsidR="00C81EEC" w:rsidRDefault="00C81EEC" w:rsidP="00353B11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em vez midazolam</w:t>
            </w:r>
            <w:r>
              <w:rPr>
                <w:rFonts w:ascii="Times New Roman" w:hAnsi="Times New Roman" w:cs="Times New Roman"/>
                <w:vertAlign w:val="superscript"/>
              </w:rPr>
              <w:t>5,37,42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. (Máx:0,5 a 1 mg)</w:t>
            </w:r>
          </w:p>
          <w:p w:rsidR="00C81EEC" w:rsidRDefault="00C81EEC" w:rsidP="00353B11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Usar escalas de avaliação de sedação</w:t>
            </w:r>
            <w:r>
              <w:rPr>
                <w:rFonts w:ascii="Times New Roman" w:hAnsi="Times New Roman" w:cs="Times New Roman"/>
                <w:vertAlign w:val="superscript"/>
              </w:rPr>
              <w:t>5,37</w:t>
            </w:r>
          </w:p>
          <w:p w:rsidR="00C81EEC" w:rsidRPr="00494245" w:rsidRDefault="00C81EEC" w:rsidP="00353B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Evitar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hipoxemia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com aporte suplementar de Oxigénio</w:t>
            </w:r>
          </w:p>
        </w:tc>
      </w:tr>
      <w:tr w:rsidR="00C81EEC" w:rsidRPr="00494245" w:rsidTr="00353B11">
        <w:trPr>
          <w:trHeight w:val="1036"/>
        </w:trPr>
        <w:tc>
          <w:tcPr>
            <w:tcW w:w="428" w:type="dxa"/>
            <w:shd w:val="clear" w:color="auto" w:fill="215868" w:themeFill="accent5" w:themeFillShade="80"/>
            <w:textDirection w:val="btLr"/>
          </w:tcPr>
          <w:p w:rsidR="00C81EEC" w:rsidRPr="00494245" w:rsidRDefault="00C81EEC" w:rsidP="00C81EE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  <w:sz w:val="16"/>
                <w:szCs w:val="16"/>
                <w:lang w:eastAsia="pt-PT"/>
              </w:rPr>
              <w:t>GERAL</w:t>
            </w:r>
          </w:p>
        </w:tc>
        <w:tc>
          <w:tcPr>
            <w:tcW w:w="3419" w:type="dxa"/>
          </w:tcPr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Não há evidência de maior incidência de complicações</w:t>
            </w:r>
            <w:r>
              <w:rPr>
                <w:rFonts w:ascii="Times New Roman" w:hAnsi="Times New Roman" w:cs="Times New Roman"/>
                <w:vertAlign w:val="superscript"/>
              </w:rPr>
              <w:t>5,37,42,48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A idade não é fator de risco independente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morbimortalidade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após cirurgia com anestesia geral</w:t>
            </w:r>
            <w:r>
              <w:rPr>
                <w:rFonts w:ascii="Times New Roman" w:hAnsi="Times New Roman" w:cs="Times New Roman"/>
                <w:vertAlign w:val="superscript"/>
              </w:rPr>
              <w:t>37, 47,48,50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Não há evidência da relação de delírio pós-operatório e AG.</w:t>
            </w:r>
            <w:r>
              <w:rPr>
                <w:rFonts w:ascii="Times New Roman" w:hAnsi="Times New Roman" w:cs="Times New Roman"/>
                <w:vertAlign w:val="superscript"/>
              </w:rPr>
              <w:t>5,37,38,40,42,43,44,48,49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</w:p>
          <w:p w:rsidR="00C81EEC" w:rsidRPr="00494245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position w:val="7"/>
                <w:sz w:val="16"/>
                <w:szCs w:val="16"/>
                <w:lang w:eastAsia="pt-PT"/>
              </w:rPr>
            </w:pPr>
          </w:p>
        </w:tc>
        <w:tc>
          <w:tcPr>
            <w:tcW w:w="2507" w:type="dxa"/>
          </w:tcPr>
          <w:p w:rsidR="00C81EEC" w:rsidRDefault="00C81EEC" w:rsidP="00353B1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Potenciais dificuldades  na abordagem da via aérea </w:t>
            </w:r>
            <w:r>
              <w:rPr>
                <w:rFonts w:ascii="Times New Roman" w:hAnsi="Times New Roman" w:cs="Times New Roman"/>
                <w:vertAlign w:val="superscript"/>
              </w:rPr>
              <w:t>37,42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 w:rsidRPr="0049424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Complicações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cardiorrespiratórias e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neuropsiquiátricas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5,6,37,42,50,</w:t>
            </w:r>
          </w:p>
          <w:p w:rsidR="00C81EEC" w:rsidRPr="00494245" w:rsidRDefault="00C81EEC" w:rsidP="00353B11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</w:p>
        </w:tc>
        <w:tc>
          <w:tcPr>
            <w:tcW w:w="3903" w:type="dxa"/>
          </w:tcPr>
          <w:p w:rsidR="00C81EEC" w:rsidRDefault="00C81EEC" w:rsidP="00353B11">
            <w:pPr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Preferir t</w:t>
            </w:r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écnica de </w:t>
            </w:r>
            <w:proofErr w:type="spellStart"/>
            <w:r w:rsidRPr="00872AFF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fast-track</w:t>
            </w:r>
            <w:proofErr w:type="spellEnd"/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, usando a</w:t>
            </w:r>
            <w:r w:rsidRPr="0049424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estésicos de curta duração ação</w:t>
            </w:r>
            <w:r>
              <w:rPr>
                <w:rFonts w:ascii="Times New Roman" w:hAnsi="Times New Roman" w:cs="Times New Roman"/>
                <w:vertAlign w:val="superscript"/>
              </w:rPr>
              <w:t>5,37,42,50-54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Pré-oxigenação com O2 a 100%,  antes da indução 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Redução das doses na indução e administração lenta </w:t>
            </w:r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(</w:t>
            </w:r>
            <w:proofErr w:type="spellStart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Go</w:t>
            </w:r>
            <w:proofErr w:type="spellEnd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slow</w:t>
            </w:r>
            <w:proofErr w:type="spellEnd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, </w:t>
            </w:r>
            <w:proofErr w:type="spellStart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Keep</w:t>
            </w:r>
            <w:proofErr w:type="spellEnd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</w:t>
            </w:r>
            <w:proofErr w:type="spellStart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low</w:t>
            </w:r>
            <w:proofErr w:type="spellEnd"/>
            <w:r w:rsidRPr="00CF249B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6"/>
                <w:szCs w:val="16"/>
                <w:lang w:eastAsia="pt-PT"/>
              </w:rPr>
              <w:t>..)</w:t>
            </w:r>
            <w:r>
              <w:rPr>
                <w:rFonts w:ascii="Times New Roman" w:hAnsi="Times New Roman" w:cs="Times New Roman"/>
                <w:vertAlign w:val="superscript"/>
              </w:rPr>
              <w:t>5,37,41,46,48,49,54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Redução da MAC dos halogenados em 30%</w:t>
            </w:r>
            <w:r>
              <w:rPr>
                <w:rFonts w:ascii="Times New Roman" w:hAnsi="Times New Roman" w:cs="Times New Roman"/>
                <w:vertAlign w:val="superscript"/>
              </w:rPr>
              <w:t>53,54,50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Desflurano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associado a uma mais rápida emergência anestésica e menos complicações</w:t>
            </w:r>
            <w:r>
              <w:rPr>
                <w:rFonts w:ascii="Times New Roman" w:hAnsi="Times New Roman" w:cs="Times New Roman"/>
                <w:vertAlign w:val="superscript"/>
              </w:rPr>
              <w:t>55,54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Não há evidência de vantagens da TIVA em relação á manutenção com desflurano</w:t>
            </w:r>
            <w:r>
              <w:rPr>
                <w:rFonts w:ascii="Times New Roman" w:hAnsi="Times New Roman" w:cs="Times New Roman"/>
                <w:vertAlign w:val="superscript"/>
              </w:rPr>
              <w:t>55,54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Minimizar o uso 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 Relaxantes Musculares</w:t>
            </w:r>
            <w:r>
              <w:rPr>
                <w:rFonts w:ascii="Times New Roman" w:hAnsi="Times New Roman" w:cs="Times New Roman"/>
                <w:vertAlign w:val="superscript"/>
              </w:rPr>
              <w:t>5,37,48,50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Preferir dispositivos supraglóticos sempre que exequível</w:t>
            </w:r>
            <w:r>
              <w:rPr>
                <w:rFonts w:ascii="Times New Roman" w:hAnsi="Times New Roman" w:cs="Times New Roman"/>
                <w:vertAlign w:val="superscript"/>
              </w:rPr>
              <w:t>5,37,42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 xml:space="preserve">Reduzir o uso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opioides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, promovendo a analgesia multimodal</w:t>
            </w:r>
            <w:r>
              <w:rPr>
                <w:rFonts w:ascii="Times New Roman" w:hAnsi="Times New Roman" w:cs="Times New Roman"/>
                <w:vertAlign w:val="superscript"/>
              </w:rPr>
              <w:t>5,6,37, 41,42,44,45,46,55,56,58,63,64</w:t>
            </w:r>
          </w:p>
          <w:p w:rsidR="00C81EEC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  <w:t>Manter a normotermia</w:t>
            </w:r>
            <w:r>
              <w:rPr>
                <w:rFonts w:ascii="Times New Roman" w:hAnsi="Times New Roman" w:cs="Times New Roman"/>
                <w:vertAlign w:val="superscript"/>
              </w:rPr>
              <w:t>5,37,42</w:t>
            </w:r>
          </w:p>
          <w:p w:rsidR="00C81EEC" w:rsidRPr="00CF249B" w:rsidRDefault="00C81EEC" w:rsidP="00353B11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eastAsia="pt-PT"/>
              </w:rPr>
            </w:pPr>
          </w:p>
        </w:tc>
      </w:tr>
    </w:tbl>
    <w:p w:rsidR="00C81EEC" w:rsidRDefault="00C81EEC">
      <w:bookmarkStart w:id="0" w:name="_GoBack"/>
      <w:bookmarkEnd w:id="0"/>
    </w:p>
    <w:sectPr w:rsidR="00C81EEC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93C"/>
    <w:multiLevelType w:val="hybridMultilevel"/>
    <w:tmpl w:val="9F086A22"/>
    <w:lvl w:ilvl="0" w:tplc="39D406A0">
      <w:start w:val="1"/>
      <w:numFmt w:val="upperLetter"/>
      <w:lvlText w:val="%1."/>
      <w:lvlJc w:val="left"/>
      <w:pPr>
        <w:ind w:left="473" w:hanging="360"/>
      </w:pPr>
      <w:rPr>
        <w:rFonts w:ascii="Calibri" w:hAnsi="Calibri" w:hint="default"/>
        <w:b/>
        <w:color w:val="FFFFFF" w:themeColor="background1"/>
      </w:rPr>
    </w:lvl>
    <w:lvl w:ilvl="1" w:tplc="08160019" w:tentative="1">
      <w:start w:val="1"/>
      <w:numFmt w:val="lowerLetter"/>
      <w:lvlText w:val="%2."/>
      <w:lvlJc w:val="left"/>
      <w:pPr>
        <w:ind w:left="1193" w:hanging="360"/>
      </w:pPr>
    </w:lvl>
    <w:lvl w:ilvl="2" w:tplc="0816001B" w:tentative="1">
      <w:start w:val="1"/>
      <w:numFmt w:val="lowerRoman"/>
      <w:lvlText w:val="%3."/>
      <w:lvlJc w:val="right"/>
      <w:pPr>
        <w:ind w:left="1913" w:hanging="180"/>
      </w:pPr>
    </w:lvl>
    <w:lvl w:ilvl="3" w:tplc="0816000F" w:tentative="1">
      <w:start w:val="1"/>
      <w:numFmt w:val="decimal"/>
      <w:lvlText w:val="%4."/>
      <w:lvlJc w:val="left"/>
      <w:pPr>
        <w:ind w:left="2633" w:hanging="360"/>
      </w:pPr>
    </w:lvl>
    <w:lvl w:ilvl="4" w:tplc="08160019" w:tentative="1">
      <w:start w:val="1"/>
      <w:numFmt w:val="lowerLetter"/>
      <w:lvlText w:val="%5."/>
      <w:lvlJc w:val="left"/>
      <w:pPr>
        <w:ind w:left="3353" w:hanging="360"/>
      </w:pPr>
    </w:lvl>
    <w:lvl w:ilvl="5" w:tplc="0816001B" w:tentative="1">
      <w:start w:val="1"/>
      <w:numFmt w:val="lowerRoman"/>
      <w:lvlText w:val="%6."/>
      <w:lvlJc w:val="right"/>
      <w:pPr>
        <w:ind w:left="4073" w:hanging="180"/>
      </w:pPr>
    </w:lvl>
    <w:lvl w:ilvl="6" w:tplc="0816000F" w:tentative="1">
      <w:start w:val="1"/>
      <w:numFmt w:val="decimal"/>
      <w:lvlText w:val="%7."/>
      <w:lvlJc w:val="left"/>
      <w:pPr>
        <w:ind w:left="4793" w:hanging="360"/>
      </w:pPr>
    </w:lvl>
    <w:lvl w:ilvl="7" w:tplc="08160019" w:tentative="1">
      <w:start w:val="1"/>
      <w:numFmt w:val="lowerLetter"/>
      <w:lvlText w:val="%8."/>
      <w:lvlJc w:val="left"/>
      <w:pPr>
        <w:ind w:left="5513" w:hanging="360"/>
      </w:pPr>
    </w:lvl>
    <w:lvl w:ilvl="8" w:tplc="08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EC"/>
    <w:rsid w:val="002D322B"/>
    <w:rsid w:val="008D0CDD"/>
    <w:rsid w:val="00C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EEC"/>
    <w:pPr>
      <w:spacing w:after="200"/>
      <w:ind w:left="720"/>
      <w:contextualSpacing/>
    </w:pPr>
    <w:rPr>
      <w:rFonts w:eastAsiaTheme="minorHAnsi"/>
    </w:rPr>
  </w:style>
  <w:style w:type="table" w:customStyle="1" w:styleId="TabelacomGrelhaClara1">
    <w:name w:val="Tabela com Grelha Clara1"/>
    <w:basedOn w:val="TableNormal"/>
    <w:uiPriority w:val="40"/>
    <w:rsid w:val="00C81EEC"/>
    <w:pPr>
      <w:jc w:val="both"/>
    </w:pPr>
    <w:rPr>
      <w:rFonts w:eastAsiaTheme="minorHAns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EEC"/>
    <w:pPr>
      <w:spacing w:after="200"/>
      <w:ind w:left="720"/>
      <w:contextualSpacing/>
    </w:pPr>
    <w:rPr>
      <w:rFonts w:eastAsiaTheme="minorHAnsi"/>
    </w:rPr>
  </w:style>
  <w:style w:type="table" w:customStyle="1" w:styleId="TabelacomGrelhaClara1">
    <w:name w:val="Tabela com Grelha Clara1"/>
    <w:basedOn w:val="TableNormal"/>
    <w:uiPriority w:val="40"/>
    <w:rsid w:val="00C81EEC"/>
    <w:pPr>
      <w:jc w:val="both"/>
    </w:pPr>
    <w:rPr>
      <w:rFonts w:eastAsiaTheme="minorHAns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Macintosh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2016-10-28T14:36:00Z</dcterms:created>
  <dcterms:modified xsi:type="dcterms:W3CDTF">2016-10-28T14:38:00Z</dcterms:modified>
</cp:coreProperties>
</file>