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FA0F0" w14:textId="77777777" w:rsidR="00F40F5E" w:rsidRPr="00705FBC" w:rsidRDefault="00F40F5E" w:rsidP="00F40F5E">
      <w:pPr>
        <w:spacing w:after="0" w:line="240" w:lineRule="auto"/>
        <w:jc w:val="both"/>
        <w:outlineLvl w:val="1"/>
        <w:rPr>
          <w:rFonts w:ascii="Times New Roman" w:eastAsia="Times New Roman" w:hAnsi="Times New Roman" w:cs="Times New Roman"/>
          <w:b/>
          <w:bCs/>
          <w:sz w:val="36"/>
          <w:szCs w:val="36"/>
          <w:lang w:val="en-US" w:eastAsia="pt-PT"/>
        </w:rPr>
      </w:pPr>
    </w:p>
    <w:p w14:paraId="512DF825" w14:textId="77777777" w:rsidR="00F40F5E" w:rsidRPr="002F3C7B" w:rsidRDefault="00F40F5E" w:rsidP="00F40F5E">
      <w:pPr>
        <w:spacing w:after="0" w:line="240" w:lineRule="auto"/>
        <w:jc w:val="both"/>
        <w:rPr>
          <w:rFonts w:ascii="Times New Roman" w:eastAsiaTheme="minorEastAsia" w:hAnsi="Times New Roman" w:cs="Times New Roman"/>
          <w:sz w:val="24"/>
          <w:szCs w:val="24"/>
          <w:lang w:val="en-US" w:eastAsia="pt-PT"/>
        </w:rPr>
      </w:pPr>
      <w:proofErr w:type="spellStart"/>
      <w:r w:rsidRPr="002F3C7B">
        <w:rPr>
          <w:rFonts w:ascii="Times New Roman" w:eastAsiaTheme="minorEastAsia" w:hAnsi="Times New Roman" w:cs="Times New Roman"/>
          <w:b/>
          <w:bCs/>
          <w:sz w:val="24"/>
          <w:szCs w:val="24"/>
          <w:lang w:val="en-US" w:eastAsia="pt-PT"/>
        </w:rPr>
        <w:t>Título</w:t>
      </w:r>
      <w:proofErr w:type="spellEnd"/>
      <w:r w:rsidRPr="002F3C7B">
        <w:rPr>
          <w:rFonts w:ascii="Times New Roman" w:eastAsiaTheme="minorEastAsia" w:hAnsi="Times New Roman" w:cs="Times New Roman"/>
          <w:b/>
          <w:bCs/>
          <w:sz w:val="24"/>
          <w:szCs w:val="24"/>
          <w:lang w:val="en-US" w:eastAsia="pt-PT"/>
        </w:rPr>
        <w:t>:</w:t>
      </w:r>
      <w:r w:rsidRPr="002F3C7B">
        <w:rPr>
          <w:rFonts w:ascii="Times New Roman" w:eastAsiaTheme="minorEastAsia" w:hAnsi="Times New Roman" w:cs="Times New Roman"/>
          <w:sz w:val="24"/>
          <w:szCs w:val="24"/>
          <w:lang w:val="en-US" w:eastAsia="pt-PT"/>
        </w:rPr>
        <w:t xml:space="preserve"> Eye-Surgery in a patient with Alport Syndrome – about a clinical case</w:t>
      </w:r>
    </w:p>
    <w:p w14:paraId="6B957EED" w14:textId="77777777" w:rsidR="00F40F5E" w:rsidRDefault="00F40F5E" w:rsidP="00F40F5E">
      <w:pPr>
        <w:spacing w:after="0" w:line="240" w:lineRule="auto"/>
        <w:jc w:val="both"/>
        <w:rPr>
          <w:rFonts w:ascii="Times New Roman" w:eastAsiaTheme="minorEastAsia" w:hAnsi="Times New Roman" w:cs="Times New Roman"/>
          <w:sz w:val="24"/>
          <w:szCs w:val="24"/>
          <w:lang w:val="en-US" w:eastAsia="pt-PT"/>
        </w:rPr>
      </w:pPr>
      <w:r w:rsidRPr="002F3C7B">
        <w:rPr>
          <w:rFonts w:ascii="Times New Roman" w:eastAsiaTheme="minorEastAsia" w:hAnsi="Times New Roman" w:cs="Times New Roman"/>
          <w:sz w:val="24"/>
          <w:szCs w:val="24"/>
          <w:lang w:val="en-US" w:eastAsia="pt-PT"/>
        </w:rPr>
        <w:t>Introduction</w:t>
      </w:r>
    </w:p>
    <w:p w14:paraId="613341FB" w14:textId="77777777" w:rsidR="00F40F5E" w:rsidRDefault="00F40F5E" w:rsidP="00F40F5E">
      <w:pPr>
        <w:pStyle w:val="NormalWeb"/>
      </w:pPr>
      <w:r>
        <w:rPr>
          <w:b/>
          <w:bCs/>
        </w:rPr>
        <w:t>Autores:</w:t>
      </w:r>
      <w:r>
        <w:t xml:space="preserve"> André Parra, Carolina Almeida, Jorge Paulos, Filomena Lima</w:t>
      </w:r>
    </w:p>
    <w:p w14:paraId="06772C01" w14:textId="77777777" w:rsidR="00F40F5E" w:rsidRDefault="00F40F5E" w:rsidP="00F40F5E">
      <w:pPr>
        <w:pStyle w:val="NormalWeb"/>
      </w:pPr>
      <w:r>
        <w:rPr>
          <w:b/>
          <w:bCs/>
        </w:rPr>
        <w:t>Instituições:</w:t>
      </w:r>
      <w:r>
        <w:t xml:space="preserve"> Centro Hospitalar Universitário de Lisboa Central</w:t>
      </w:r>
    </w:p>
    <w:p w14:paraId="24DFD278" w14:textId="77777777" w:rsidR="00F40F5E" w:rsidRDefault="00F40F5E" w:rsidP="00F40F5E">
      <w:pPr>
        <w:pStyle w:val="NormalWeb"/>
      </w:pPr>
      <w:r>
        <w:rPr>
          <w:b/>
          <w:bCs/>
        </w:rPr>
        <w:t>Área Terapêutica/Tema:</w:t>
      </w:r>
      <w:r>
        <w:t xml:space="preserve"> Abordagem do doente COVID-19</w:t>
      </w:r>
    </w:p>
    <w:p w14:paraId="399A1099" w14:textId="77777777" w:rsidR="00F40F5E" w:rsidRPr="002F3C7B" w:rsidRDefault="00F40F5E" w:rsidP="00F40F5E">
      <w:pPr>
        <w:spacing w:after="0" w:line="240" w:lineRule="auto"/>
        <w:jc w:val="both"/>
        <w:rPr>
          <w:rFonts w:ascii="Times New Roman" w:eastAsiaTheme="minorEastAsia" w:hAnsi="Times New Roman" w:cs="Times New Roman"/>
          <w:sz w:val="24"/>
          <w:szCs w:val="24"/>
          <w:lang w:val="en-US" w:eastAsia="pt-PT"/>
        </w:rPr>
      </w:pPr>
      <w:r w:rsidRPr="002F3C7B">
        <w:rPr>
          <w:rFonts w:ascii="Times New Roman" w:eastAsiaTheme="minorEastAsia" w:hAnsi="Times New Roman" w:cs="Times New Roman"/>
          <w:sz w:val="24"/>
          <w:szCs w:val="24"/>
          <w:lang w:val="en-US" w:eastAsia="pt-PT"/>
        </w:rPr>
        <w:t xml:space="preserve">Alport syndrome is a hereditary disease, most commonly X-linked, that has a prevalence of 1:50 000. Mutations in the gene coding for type IV collagen (COL4A1), which is a major component of several organs’ basal membranes, lead to hematuria in children, neurosensorial bilateral hearing loss, eye-sight problems and diffuse </w:t>
      </w:r>
      <w:proofErr w:type="spellStart"/>
      <w:r w:rsidRPr="002F3C7B">
        <w:rPr>
          <w:rFonts w:ascii="Times New Roman" w:eastAsiaTheme="minorEastAsia" w:hAnsi="Times New Roman" w:cs="Times New Roman"/>
          <w:sz w:val="24"/>
          <w:szCs w:val="24"/>
          <w:lang w:val="en-US" w:eastAsia="pt-PT"/>
        </w:rPr>
        <w:t>leiomyomatosis</w:t>
      </w:r>
      <w:proofErr w:type="spellEnd"/>
      <w:r w:rsidRPr="002F3C7B">
        <w:rPr>
          <w:rFonts w:ascii="Times New Roman" w:eastAsiaTheme="minorEastAsia" w:hAnsi="Times New Roman" w:cs="Times New Roman"/>
          <w:sz w:val="24"/>
          <w:szCs w:val="24"/>
          <w:lang w:val="en-US" w:eastAsia="pt-PT"/>
        </w:rPr>
        <w:t>. Disease progression is relentless, and by teen years total sight and hearing loss are common, and chronic renal failure often drives the need for dialysis and renal transplantation.</w:t>
      </w:r>
    </w:p>
    <w:p w14:paraId="667B909A" w14:textId="77777777" w:rsidR="00F40F5E" w:rsidRPr="002F3C7B" w:rsidRDefault="00F40F5E" w:rsidP="00F40F5E">
      <w:pPr>
        <w:spacing w:after="0" w:line="240" w:lineRule="auto"/>
        <w:jc w:val="both"/>
        <w:rPr>
          <w:rFonts w:ascii="Times New Roman" w:eastAsiaTheme="minorEastAsia" w:hAnsi="Times New Roman" w:cs="Times New Roman"/>
          <w:sz w:val="24"/>
          <w:szCs w:val="24"/>
          <w:lang w:val="en-US" w:eastAsia="pt-PT"/>
        </w:rPr>
      </w:pPr>
      <w:r w:rsidRPr="002F3C7B">
        <w:rPr>
          <w:rFonts w:ascii="Times New Roman" w:eastAsiaTheme="minorEastAsia" w:hAnsi="Times New Roman" w:cs="Times New Roman"/>
          <w:sz w:val="24"/>
          <w:szCs w:val="24"/>
          <w:lang w:val="en-US" w:eastAsia="pt-PT"/>
        </w:rPr>
        <w:t> </w:t>
      </w:r>
    </w:p>
    <w:p w14:paraId="2D6747AD" w14:textId="77777777" w:rsidR="00F40F5E" w:rsidRPr="002F3C7B" w:rsidRDefault="00F40F5E" w:rsidP="00F40F5E">
      <w:pPr>
        <w:spacing w:after="0" w:line="240" w:lineRule="auto"/>
        <w:jc w:val="both"/>
        <w:rPr>
          <w:rFonts w:ascii="Times New Roman" w:eastAsiaTheme="minorEastAsia" w:hAnsi="Times New Roman" w:cs="Times New Roman"/>
          <w:sz w:val="24"/>
          <w:szCs w:val="24"/>
          <w:lang w:val="en-US" w:eastAsia="pt-PT"/>
        </w:rPr>
      </w:pPr>
      <w:r w:rsidRPr="002F3C7B">
        <w:rPr>
          <w:rFonts w:ascii="Times New Roman" w:eastAsiaTheme="minorEastAsia" w:hAnsi="Times New Roman" w:cs="Times New Roman"/>
          <w:sz w:val="24"/>
          <w:szCs w:val="24"/>
          <w:lang w:val="en-US" w:eastAsia="pt-PT"/>
        </w:rPr>
        <w:t>Clinical Case</w:t>
      </w:r>
    </w:p>
    <w:p w14:paraId="6E35889E" w14:textId="77777777" w:rsidR="00F40F5E" w:rsidRPr="002F3C7B" w:rsidRDefault="00F40F5E" w:rsidP="00F40F5E">
      <w:pPr>
        <w:spacing w:after="0" w:line="240" w:lineRule="auto"/>
        <w:jc w:val="both"/>
        <w:rPr>
          <w:rFonts w:ascii="Times New Roman" w:eastAsiaTheme="minorEastAsia" w:hAnsi="Times New Roman" w:cs="Times New Roman"/>
          <w:sz w:val="24"/>
          <w:szCs w:val="24"/>
          <w:lang w:val="en-US" w:eastAsia="pt-PT"/>
        </w:rPr>
      </w:pPr>
      <w:r w:rsidRPr="002F3C7B">
        <w:rPr>
          <w:rFonts w:ascii="Times New Roman" w:eastAsiaTheme="minorEastAsia" w:hAnsi="Times New Roman" w:cs="Times New Roman"/>
          <w:sz w:val="24"/>
          <w:szCs w:val="24"/>
          <w:lang w:val="en-US" w:eastAsia="pt-PT"/>
        </w:rPr>
        <w:t xml:space="preserve">A 33yo man, classified as ASA III, with Alport Syndrome is eligible for strabismus correction surgery. Preoperative clinical evaluation revealed major hearing loss, bilateral corneal ulcer, gastrointestinal </w:t>
      </w:r>
      <w:proofErr w:type="spellStart"/>
      <w:r w:rsidRPr="002F3C7B">
        <w:rPr>
          <w:rFonts w:ascii="Times New Roman" w:eastAsiaTheme="minorEastAsia" w:hAnsi="Times New Roman" w:cs="Times New Roman"/>
          <w:sz w:val="24"/>
          <w:szCs w:val="24"/>
          <w:lang w:val="en-US" w:eastAsia="pt-PT"/>
        </w:rPr>
        <w:t>leiomyomatosis</w:t>
      </w:r>
      <w:proofErr w:type="spellEnd"/>
      <w:r w:rsidRPr="002F3C7B">
        <w:rPr>
          <w:rFonts w:ascii="Times New Roman" w:eastAsiaTheme="minorEastAsia" w:hAnsi="Times New Roman" w:cs="Times New Roman"/>
          <w:sz w:val="24"/>
          <w:szCs w:val="24"/>
          <w:lang w:val="en-US" w:eastAsia="pt-PT"/>
        </w:rPr>
        <w:t>, an esophageal lesion causing chronic visceral pain, and a history of kidney transplant at the age of 20. He was on strong painkillers, immunosuppressive therapy and was also medicated for asthma.</w:t>
      </w:r>
    </w:p>
    <w:p w14:paraId="16C70E43" w14:textId="77777777" w:rsidR="00F40F5E" w:rsidRPr="002F3C7B" w:rsidRDefault="00F40F5E" w:rsidP="00F40F5E">
      <w:pPr>
        <w:spacing w:after="0" w:line="240" w:lineRule="auto"/>
        <w:jc w:val="both"/>
        <w:rPr>
          <w:rFonts w:ascii="Times New Roman" w:eastAsiaTheme="minorEastAsia" w:hAnsi="Times New Roman" w:cs="Times New Roman"/>
          <w:sz w:val="24"/>
          <w:szCs w:val="24"/>
          <w:lang w:val="en-US" w:eastAsia="pt-PT"/>
        </w:rPr>
      </w:pPr>
      <w:r w:rsidRPr="002F3C7B">
        <w:rPr>
          <w:rFonts w:ascii="Times New Roman" w:eastAsiaTheme="minorEastAsia" w:hAnsi="Times New Roman" w:cs="Times New Roman"/>
          <w:sz w:val="24"/>
          <w:szCs w:val="24"/>
          <w:lang w:val="en-US" w:eastAsia="pt-PT"/>
        </w:rPr>
        <w:t xml:space="preserve">Blood analysis showed thrombocytopenia (93x109/L), subtle coagulation time increase, a </w:t>
      </w:r>
      <w:proofErr w:type="spellStart"/>
      <w:r w:rsidRPr="002F3C7B">
        <w:rPr>
          <w:rFonts w:ascii="Times New Roman" w:eastAsiaTheme="minorEastAsia" w:hAnsi="Times New Roman" w:cs="Times New Roman"/>
          <w:sz w:val="24"/>
          <w:szCs w:val="24"/>
          <w:lang w:val="en-US" w:eastAsia="pt-PT"/>
        </w:rPr>
        <w:t>sCr</w:t>
      </w:r>
      <w:proofErr w:type="spellEnd"/>
      <w:r w:rsidRPr="002F3C7B">
        <w:rPr>
          <w:rFonts w:ascii="Times New Roman" w:eastAsiaTheme="minorEastAsia" w:hAnsi="Times New Roman" w:cs="Times New Roman"/>
          <w:sz w:val="24"/>
          <w:szCs w:val="24"/>
          <w:lang w:val="en-US" w:eastAsia="pt-PT"/>
        </w:rPr>
        <w:t xml:space="preserve"> 1,36mg/dL (eGFR 67mL/min/1,73). Avoiding nephrotoxic medications, the patient underwent a Balanced General Anesthesia without any complications, except for the occurrence of an </w:t>
      </w:r>
      <w:proofErr w:type="spellStart"/>
      <w:r w:rsidRPr="002F3C7B">
        <w:rPr>
          <w:rFonts w:ascii="Times New Roman" w:eastAsiaTheme="minorEastAsia" w:hAnsi="Times New Roman" w:cs="Times New Roman"/>
          <w:sz w:val="24"/>
          <w:szCs w:val="24"/>
          <w:lang w:val="en-US" w:eastAsia="pt-PT"/>
        </w:rPr>
        <w:t>oculocardiac</w:t>
      </w:r>
      <w:proofErr w:type="spellEnd"/>
      <w:r w:rsidRPr="002F3C7B">
        <w:rPr>
          <w:rFonts w:ascii="Times New Roman" w:eastAsiaTheme="minorEastAsia" w:hAnsi="Times New Roman" w:cs="Times New Roman"/>
          <w:sz w:val="24"/>
          <w:szCs w:val="24"/>
          <w:lang w:val="en-US" w:eastAsia="pt-PT"/>
        </w:rPr>
        <w:t xml:space="preserve"> reflex with a brief period of bradycardia (HR 25bpm) that rapidly reverted after ceasing of the surgical stimulus and administration of 0,5mg of atropine. During surgery, both hearing aids were kept in place so that emergence from anesthesia would be as smooth as possible for the patient, and so he could follow medical orders. The patient was extubated after neuromuscular block reversal.</w:t>
      </w:r>
    </w:p>
    <w:p w14:paraId="6D7AD35D" w14:textId="77777777" w:rsidR="00F40F5E" w:rsidRPr="002F3C7B" w:rsidRDefault="00F40F5E" w:rsidP="00F40F5E">
      <w:pPr>
        <w:spacing w:after="0" w:line="240" w:lineRule="auto"/>
        <w:jc w:val="both"/>
        <w:rPr>
          <w:rFonts w:ascii="Times New Roman" w:eastAsiaTheme="minorEastAsia" w:hAnsi="Times New Roman" w:cs="Times New Roman"/>
          <w:sz w:val="24"/>
          <w:szCs w:val="24"/>
          <w:lang w:val="en-US" w:eastAsia="pt-PT"/>
        </w:rPr>
      </w:pPr>
      <w:r w:rsidRPr="002F3C7B">
        <w:rPr>
          <w:rFonts w:ascii="Times New Roman" w:eastAsiaTheme="minorEastAsia" w:hAnsi="Times New Roman" w:cs="Times New Roman"/>
          <w:sz w:val="24"/>
          <w:szCs w:val="24"/>
          <w:lang w:val="en-US" w:eastAsia="pt-PT"/>
        </w:rPr>
        <w:t> </w:t>
      </w:r>
    </w:p>
    <w:p w14:paraId="1C0B8B60" w14:textId="77777777" w:rsidR="00F40F5E" w:rsidRPr="002F3C7B" w:rsidRDefault="00F40F5E" w:rsidP="00F40F5E">
      <w:pPr>
        <w:spacing w:after="0" w:line="240" w:lineRule="auto"/>
        <w:jc w:val="both"/>
        <w:rPr>
          <w:rFonts w:ascii="Times New Roman" w:eastAsiaTheme="minorEastAsia" w:hAnsi="Times New Roman" w:cs="Times New Roman"/>
          <w:sz w:val="24"/>
          <w:szCs w:val="24"/>
          <w:lang w:val="en-US" w:eastAsia="pt-PT"/>
        </w:rPr>
      </w:pPr>
      <w:r w:rsidRPr="002F3C7B">
        <w:rPr>
          <w:rFonts w:ascii="Times New Roman" w:eastAsiaTheme="minorEastAsia" w:hAnsi="Times New Roman" w:cs="Times New Roman"/>
          <w:sz w:val="24"/>
          <w:szCs w:val="24"/>
          <w:lang w:val="en-US" w:eastAsia="pt-PT"/>
        </w:rPr>
        <w:t>Discussion</w:t>
      </w:r>
    </w:p>
    <w:p w14:paraId="01EEADA2" w14:textId="77777777" w:rsidR="00F40F5E" w:rsidRPr="002F3C7B" w:rsidRDefault="00F40F5E" w:rsidP="00F40F5E">
      <w:pPr>
        <w:spacing w:after="0" w:line="240" w:lineRule="auto"/>
        <w:jc w:val="both"/>
        <w:rPr>
          <w:rFonts w:ascii="Times New Roman" w:eastAsiaTheme="minorEastAsia" w:hAnsi="Times New Roman" w:cs="Times New Roman"/>
          <w:sz w:val="24"/>
          <w:szCs w:val="24"/>
          <w:lang w:val="en-US" w:eastAsia="pt-PT"/>
        </w:rPr>
      </w:pPr>
      <w:r w:rsidRPr="002F3C7B">
        <w:rPr>
          <w:rFonts w:ascii="Times New Roman" w:eastAsiaTheme="minorEastAsia" w:hAnsi="Times New Roman" w:cs="Times New Roman"/>
          <w:sz w:val="24"/>
          <w:szCs w:val="24"/>
          <w:lang w:val="en-US" w:eastAsia="pt-PT"/>
        </w:rPr>
        <w:t xml:space="preserve">Adult Alport syndrome patients are frequently kidney transplant patients, with an associated impaired renal function. Hence, in aiming for graft conservation, the choice of non-nephrotoxic mediations is of utmost importance, by prioritizing minimally renal excreted drugs and always adjusting doses for the level of renal function. The possibility of tracheobronchial </w:t>
      </w:r>
      <w:proofErr w:type="spellStart"/>
      <w:r w:rsidRPr="002F3C7B">
        <w:rPr>
          <w:rFonts w:ascii="Times New Roman" w:eastAsiaTheme="minorEastAsia" w:hAnsi="Times New Roman" w:cs="Times New Roman"/>
          <w:sz w:val="24"/>
          <w:szCs w:val="24"/>
          <w:lang w:val="en-US" w:eastAsia="pt-PT"/>
        </w:rPr>
        <w:t>leiomyomatous</w:t>
      </w:r>
      <w:proofErr w:type="spellEnd"/>
      <w:r w:rsidRPr="002F3C7B">
        <w:rPr>
          <w:rFonts w:ascii="Times New Roman" w:eastAsiaTheme="minorEastAsia" w:hAnsi="Times New Roman" w:cs="Times New Roman"/>
          <w:sz w:val="24"/>
          <w:szCs w:val="24"/>
          <w:lang w:val="en-US" w:eastAsia="pt-PT"/>
        </w:rPr>
        <w:t xml:space="preserve"> disease may lead to difficulty in orotracheal intubation. When hearing perception is device-dependent, considering keeping hearing aids in place is crucial for patient comfort and collaboration with the medical and nursing staff.</w:t>
      </w:r>
    </w:p>
    <w:p w14:paraId="3C87C577" w14:textId="77777777" w:rsidR="00F40F5E" w:rsidRPr="002F3C7B" w:rsidRDefault="00F40F5E" w:rsidP="00F40F5E">
      <w:pPr>
        <w:spacing w:after="0" w:line="240" w:lineRule="auto"/>
        <w:jc w:val="both"/>
        <w:rPr>
          <w:rFonts w:ascii="Times New Roman" w:eastAsiaTheme="minorEastAsia" w:hAnsi="Times New Roman" w:cs="Times New Roman"/>
          <w:sz w:val="24"/>
          <w:szCs w:val="24"/>
          <w:lang w:val="en-US" w:eastAsia="pt-PT"/>
        </w:rPr>
      </w:pPr>
      <w:r w:rsidRPr="002F3C7B">
        <w:rPr>
          <w:rFonts w:ascii="Times New Roman" w:eastAsiaTheme="minorEastAsia" w:hAnsi="Times New Roman" w:cs="Times New Roman"/>
          <w:sz w:val="24"/>
          <w:szCs w:val="24"/>
          <w:lang w:val="en-US" w:eastAsia="pt-PT"/>
        </w:rPr>
        <w:t> </w:t>
      </w:r>
    </w:p>
    <w:p w14:paraId="3FAF471E" w14:textId="77777777" w:rsidR="00F40F5E" w:rsidRPr="002F3C7B" w:rsidRDefault="00F40F5E" w:rsidP="00F40F5E">
      <w:pPr>
        <w:spacing w:after="0" w:line="240" w:lineRule="auto"/>
        <w:jc w:val="both"/>
        <w:rPr>
          <w:rFonts w:ascii="Times New Roman" w:eastAsiaTheme="minorEastAsia" w:hAnsi="Times New Roman" w:cs="Times New Roman"/>
          <w:sz w:val="24"/>
          <w:szCs w:val="24"/>
          <w:lang w:val="en-US" w:eastAsia="pt-PT"/>
        </w:rPr>
      </w:pPr>
      <w:r w:rsidRPr="002F3C7B">
        <w:rPr>
          <w:rFonts w:ascii="Times New Roman" w:eastAsiaTheme="minorEastAsia" w:hAnsi="Times New Roman" w:cs="Times New Roman"/>
          <w:sz w:val="24"/>
          <w:szCs w:val="24"/>
          <w:lang w:val="en-US" w:eastAsia="pt-PT"/>
        </w:rPr>
        <w:t>Learning Points</w:t>
      </w:r>
    </w:p>
    <w:p w14:paraId="42480F0F" w14:textId="77777777" w:rsidR="00F40F5E" w:rsidRPr="002F3C7B" w:rsidRDefault="00F40F5E" w:rsidP="00F40F5E">
      <w:pPr>
        <w:spacing w:after="0" w:line="240" w:lineRule="auto"/>
        <w:jc w:val="both"/>
        <w:rPr>
          <w:rFonts w:ascii="Times New Roman" w:eastAsiaTheme="minorEastAsia" w:hAnsi="Times New Roman" w:cs="Times New Roman"/>
          <w:sz w:val="24"/>
          <w:szCs w:val="24"/>
          <w:lang w:val="en-US" w:eastAsia="pt-PT"/>
        </w:rPr>
      </w:pPr>
      <w:r w:rsidRPr="002F3C7B">
        <w:rPr>
          <w:rFonts w:ascii="Times New Roman" w:eastAsiaTheme="minorEastAsia" w:hAnsi="Times New Roman" w:cs="Times New Roman"/>
          <w:sz w:val="24"/>
          <w:szCs w:val="24"/>
          <w:lang w:val="en-US" w:eastAsia="pt-PT"/>
        </w:rPr>
        <w:t>Being a multisystemic disease, the anesthesiologist presented with an Alport Syndrome patient must be aware of possible medical implications, including difficult airway, impairment of renal function, and eventual immunosuppression in a post-transplant setting. From an interpersonal standing point, one might encounter major difficulties in communicating given the patient’s visual and hearing losses.</w:t>
      </w:r>
    </w:p>
    <w:p w14:paraId="61767F06" w14:textId="77777777" w:rsidR="00F40F5E" w:rsidRPr="002F3C7B" w:rsidRDefault="00F40F5E" w:rsidP="00F40F5E">
      <w:pPr>
        <w:spacing w:after="0" w:line="240" w:lineRule="auto"/>
        <w:jc w:val="both"/>
        <w:rPr>
          <w:rFonts w:ascii="Times New Roman" w:eastAsiaTheme="minorEastAsia" w:hAnsi="Times New Roman" w:cs="Times New Roman"/>
          <w:sz w:val="24"/>
          <w:szCs w:val="24"/>
          <w:lang w:val="en-US" w:eastAsia="pt-PT"/>
        </w:rPr>
      </w:pPr>
      <w:r w:rsidRPr="002F3C7B">
        <w:rPr>
          <w:rFonts w:ascii="Times New Roman" w:eastAsiaTheme="minorEastAsia" w:hAnsi="Times New Roman" w:cs="Times New Roman"/>
          <w:sz w:val="24"/>
          <w:szCs w:val="24"/>
          <w:lang w:val="en-US" w:eastAsia="pt-PT"/>
        </w:rPr>
        <w:t> </w:t>
      </w:r>
    </w:p>
    <w:p w14:paraId="19F3FB73" w14:textId="77777777" w:rsidR="00F40F5E" w:rsidRPr="002F3C7B" w:rsidRDefault="00F40F5E" w:rsidP="00F40F5E">
      <w:pPr>
        <w:spacing w:after="0" w:line="240" w:lineRule="auto"/>
        <w:jc w:val="both"/>
        <w:rPr>
          <w:rFonts w:ascii="Times New Roman" w:eastAsiaTheme="minorEastAsia" w:hAnsi="Times New Roman" w:cs="Times New Roman"/>
          <w:sz w:val="24"/>
          <w:szCs w:val="24"/>
          <w:lang w:val="en-US" w:eastAsia="pt-PT"/>
        </w:rPr>
      </w:pPr>
      <w:r w:rsidRPr="002F3C7B">
        <w:rPr>
          <w:rFonts w:ascii="Times New Roman" w:eastAsiaTheme="minorEastAsia" w:hAnsi="Times New Roman" w:cs="Times New Roman"/>
          <w:sz w:val="24"/>
          <w:szCs w:val="24"/>
          <w:lang w:val="en-US" w:eastAsia="pt-PT"/>
        </w:rPr>
        <w:lastRenderedPageBreak/>
        <w:t>References</w:t>
      </w:r>
    </w:p>
    <w:p w14:paraId="40021E54" w14:textId="77777777" w:rsidR="00F40F5E" w:rsidRPr="002F3C7B" w:rsidRDefault="00F40F5E" w:rsidP="00F40F5E">
      <w:pPr>
        <w:spacing w:after="0" w:line="240" w:lineRule="auto"/>
        <w:jc w:val="both"/>
        <w:rPr>
          <w:rFonts w:ascii="Times New Roman" w:eastAsiaTheme="minorEastAsia" w:hAnsi="Times New Roman" w:cs="Times New Roman"/>
          <w:sz w:val="24"/>
          <w:szCs w:val="24"/>
          <w:lang w:val="en-US" w:eastAsia="pt-PT"/>
        </w:rPr>
      </w:pPr>
      <w:r w:rsidRPr="002F3C7B">
        <w:rPr>
          <w:rFonts w:ascii="Times New Roman" w:eastAsiaTheme="minorEastAsia" w:hAnsi="Times New Roman" w:cs="Times New Roman"/>
          <w:sz w:val="24"/>
          <w:szCs w:val="24"/>
          <w:lang w:val="en-US" w:eastAsia="pt-PT"/>
        </w:rPr>
        <w:t xml:space="preserve">J </w:t>
      </w:r>
      <w:proofErr w:type="spellStart"/>
      <w:r w:rsidRPr="002F3C7B">
        <w:rPr>
          <w:rFonts w:ascii="Times New Roman" w:eastAsiaTheme="minorEastAsia" w:hAnsi="Times New Roman" w:cs="Times New Roman"/>
          <w:sz w:val="24"/>
          <w:szCs w:val="24"/>
          <w:lang w:val="en-US" w:eastAsia="pt-PT"/>
        </w:rPr>
        <w:t>Anesth</w:t>
      </w:r>
      <w:proofErr w:type="spellEnd"/>
      <w:r w:rsidRPr="002F3C7B">
        <w:rPr>
          <w:rFonts w:ascii="Times New Roman" w:eastAsiaTheme="minorEastAsia" w:hAnsi="Times New Roman" w:cs="Times New Roman"/>
          <w:sz w:val="24"/>
          <w:szCs w:val="24"/>
          <w:lang w:val="en-US" w:eastAsia="pt-PT"/>
        </w:rPr>
        <w:t>. 2009;23(3):453-455.</w:t>
      </w:r>
    </w:p>
    <w:p w14:paraId="2C525528" w14:textId="77777777" w:rsidR="00F40F5E" w:rsidRDefault="00F40F5E" w:rsidP="00F40F5E">
      <w:pPr>
        <w:spacing w:after="0" w:line="240" w:lineRule="auto"/>
        <w:jc w:val="both"/>
        <w:rPr>
          <w:rFonts w:ascii="Times New Roman" w:eastAsiaTheme="minorEastAsia" w:hAnsi="Times New Roman" w:cs="Times New Roman"/>
          <w:sz w:val="24"/>
          <w:szCs w:val="24"/>
          <w:lang w:val="en-US" w:eastAsia="pt-PT"/>
        </w:rPr>
      </w:pPr>
      <w:r w:rsidRPr="002F3C7B">
        <w:rPr>
          <w:rFonts w:ascii="Times New Roman" w:eastAsiaTheme="minorEastAsia" w:hAnsi="Times New Roman" w:cs="Times New Roman"/>
          <w:sz w:val="24"/>
          <w:szCs w:val="24"/>
          <w:lang w:val="en-US" w:eastAsia="pt-PT"/>
        </w:rPr>
        <w:t>P R Health Sci J. 2013;32(4):200-202.</w:t>
      </w:r>
    </w:p>
    <w:p w14:paraId="6D99B4CC" w14:textId="77777777" w:rsidR="00F40F5E" w:rsidRDefault="00F40F5E" w:rsidP="00F40F5E">
      <w:pPr>
        <w:spacing w:after="0" w:line="240" w:lineRule="auto"/>
        <w:jc w:val="both"/>
        <w:rPr>
          <w:rFonts w:ascii="Times New Roman" w:eastAsiaTheme="minorEastAsia" w:hAnsi="Times New Roman" w:cs="Times New Roman"/>
          <w:sz w:val="24"/>
          <w:szCs w:val="24"/>
          <w:lang w:val="en-US" w:eastAsia="pt-PT"/>
        </w:rPr>
      </w:pPr>
    </w:p>
    <w:p w14:paraId="16F8D347" w14:textId="77777777" w:rsidR="00237886" w:rsidRDefault="00F40F5E"/>
    <w:sectPr w:rsidR="002378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49"/>
    <w:rsid w:val="00C07CB2"/>
    <w:rsid w:val="00CD1649"/>
    <w:rsid w:val="00F40F5E"/>
    <w:rsid w:val="00F813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821F5-5D79-49B5-AFB6-61132A72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F5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40F5E"/>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2560</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Admedic</dc:creator>
  <cp:keywords/>
  <dc:description/>
  <cp:lastModifiedBy>Admedic</cp:lastModifiedBy>
  <cp:revision>2</cp:revision>
  <dcterms:created xsi:type="dcterms:W3CDTF">2021-04-19T09:09:00Z</dcterms:created>
  <dcterms:modified xsi:type="dcterms:W3CDTF">2021-04-19T09:09:00Z</dcterms:modified>
</cp:coreProperties>
</file>