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FE48" w14:textId="77777777" w:rsidR="00363806" w:rsidRDefault="00363806" w:rsidP="00363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F3C7B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2F3C7B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SÍNDROME DE HELLP E COAGULAÇÃO INTRAVASCULAR DISSEMINADA NA GRÁVIDA COVID-19: UM DESAFIO HEMOSTÁTICO</w:t>
      </w:r>
    </w:p>
    <w:p w14:paraId="7F1BF6BB" w14:textId="77777777" w:rsidR="00363806" w:rsidRPr="00F27B19" w:rsidRDefault="00363806" w:rsidP="00363806">
      <w:pPr>
        <w:pStyle w:val="NormalWeb"/>
      </w:pPr>
      <w:r>
        <w:rPr>
          <w:b/>
          <w:bCs/>
        </w:rPr>
        <w:t>Autores:</w:t>
      </w:r>
      <w:r>
        <w:t xml:space="preserve"> Teresa Sanchez, Miguel Roxo, Tiago Duarte, Leina Spencer, Francisco Matos</w:t>
      </w:r>
    </w:p>
    <w:p w14:paraId="6ED55765" w14:textId="77777777" w:rsidR="00363806" w:rsidRDefault="00363806" w:rsidP="0036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19">
        <w:rPr>
          <w:rFonts w:ascii="Times New Roman" w:hAnsi="Times New Roman" w:cs="Times New Roman"/>
          <w:b/>
          <w:bCs/>
          <w:sz w:val="24"/>
          <w:szCs w:val="24"/>
        </w:rPr>
        <w:t>Instituições:</w:t>
      </w:r>
      <w:r w:rsidRPr="00F27B19">
        <w:rPr>
          <w:rFonts w:ascii="Times New Roman" w:hAnsi="Times New Roman" w:cs="Times New Roman"/>
          <w:sz w:val="24"/>
          <w:szCs w:val="24"/>
        </w:rPr>
        <w:t xml:space="preserve"> </w:t>
      </w:r>
      <w:r w:rsidRPr="00EE4E10">
        <w:rPr>
          <w:rFonts w:ascii="Times New Roman" w:hAnsi="Times New Roman" w:cs="Times New Roman"/>
          <w:sz w:val="24"/>
          <w:szCs w:val="24"/>
        </w:rPr>
        <w:t>Centro Hospitalar Universitário Lisboa Central</w:t>
      </w:r>
    </w:p>
    <w:p w14:paraId="0986BA73" w14:textId="77777777" w:rsidR="00363806" w:rsidRPr="00EE4E10" w:rsidRDefault="00363806" w:rsidP="00363806">
      <w:pPr>
        <w:pStyle w:val="NormalWeb"/>
      </w:pPr>
      <w:r>
        <w:rPr>
          <w:b/>
          <w:bCs/>
        </w:rPr>
        <w:t>Área Terapêutica/Tema:</w:t>
      </w:r>
      <w:r>
        <w:t xml:space="preserve"> Abordagem do doente COVID-19</w:t>
      </w:r>
    </w:p>
    <w:p w14:paraId="10AB91E4" w14:textId="77777777" w:rsidR="00363806" w:rsidRPr="00F27B19" w:rsidRDefault="00363806" w:rsidP="00363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21088F94" w14:textId="77777777" w:rsidR="00363806" w:rsidRPr="00F27B19" w:rsidRDefault="00363806" w:rsidP="0036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B19">
        <w:rPr>
          <w:rFonts w:ascii="Times New Roman" w:eastAsia="Times New Roman" w:hAnsi="Times New Roman" w:cs="Times New Roman"/>
          <w:b/>
          <w:bCs/>
          <w:sz w:val="24"/>
          <w:szCs w:val="24"/>
        </w:rPr>
        <w:t>TEM FOTO</w:t>
      </w:r>
    </w:p>
    <w:p w14:paraId="6078D9A2" w14:textId="77777777" w:rsidR="00363806" w:rsidRPr="002F3C7B" w:rsidRDefault="00363806" w:rsidP="00363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F3C7B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Introdução: A Síndrome de HELLP, contemplada como um estadio clínico avançado de pré-eclâmpsia, associa-se a um quadro de coagulação intravascular disseminada (CID) em até 39% dos casos. A COVID-19, causada pelo Severe Acute Respiratory Syndrome Coronavirus 2 (SARS-CoV-2), tem sido igualmente associada a uma excessiva ativação de resposta inflamatória e imune, com alterações do equilíbrio hemostático, coagulopatia intravascular pulmonar e lesão alveolar difusa. A apresentação do seguinte caso visa expor o desequilíbrio hemostático de um quadro de CID, numa grávida com fenótipo de Síndrome de HELLP e diagnóstico simultâneo de COVID-19. </w:t>
      </w:r>
    </w:p>
    <w:p w14:paraId="174216E3" w14:textId="77777777" w:rsidR="00363806" w:rsidRPr="002F3C7B" w:rsidRDefault="00363806" w:rsidP="00363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F3C7B">
        <w:rPr>
          <w:rFonts w:ascii="Times New Roman" w:eastAsiaTheme="minorEastAsia" w:hAnsi="Times New Roman" w:cs="Times New Roman"/>
          <w:sz w:val="24"/>
          <w:szCs w:val="24"/>
          <w:lang w:eastAsia="pt-PT"/>
        </w:rPr>
        <w:t>Caso Clínico: Mulher de 33 anos com gestação gemelar bicoriónica espontânea e vigiada, de 30 semanas e 3 dias, sem antecedentes de patologia médica e/ou obstétrica. Admitida na urgência por ruptura prematura de membranas com quatro horas de evolução e febre. Analiticamente a destacar: Hb 14.2g/dL, linfopenia, trombocitopenia, aumentos dos tempos de coagulação, hipofibrinogenemia, aumento de D-dímeros e das enzimas hepáticas, bem como RT-PCR SARS-CoV-2 positivo e presença de raros esquizócitos no esfregaço de sangue periférico. Após diagnóstico ecográfico de morte de uns dos fetos, procedeu-se a cesariana sob anestesia geral balanceada e sem intercorrências cirúrgicas. Contudo, com um importante consumo de hemoderivados, num total de: duas unidades de concentrado eritrocitário, 3 concentrados plaquetários em pool, 6 unidades de plasma fresco congelado, 9 gramas de fibrinogénio, 500 unidades de complexo protrombínico e 2 gramas de ácido tranexâmico.  Por agravamento clínico, com queda de hemoglobina ao terceiro dia de pós-operatório, foi submetida a laparotomia exploradora por diagnóstico imagiológico de hemoperitoneu. Desde a admissão, e durante todo o internamento, foram realizadas avaliações analíticas seriadas, nomeadamente testes viscoelásticos. Ao quarto dia de internamento, foi declarado o óbito do recém-nascido, positivo para infeção a SARS-CoV2, em contexto de falência multi-orgânica e discrasia hemorrágica. Ao oitavo dia de internamento a doente recebeu alta hospitalar.</w:t>
      </w:r>
    </w:p>
    <w:p w14:paraId="5D74BFAE" w14:textId="77777777" w:rsidR="00363806" w:rsidRPr="002F3C7B" w:rsidRDefault="00363806" w:rsidP="00363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F3C7B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Discussão: A descrição acima relata um caso de CID numa grávida que cumpre alguns dos critérios de Síndrome de HELLP. Igualmente, outros achados poderão concorrer para a fisiopatologia do quadro, nomeadamente a COVID-19 e a morte fetal in-utero, através de um eventual estado de hiperactivação imunológica e inflamatória, a condicionar microangiopatia trombótica, consumo de fatores de coagulação e hiperfibrinólise. Poderá não ser possível excluir a atuação sinérgica de todos os fatores presentes para o desenvolvimento do quadro clínico e, assim, encarar a COVID-19 como um novo desafio </w:t>
      </w:r>
      <w:proofErr w:type="gramStart"/>
      <w:r w:rsidRPr="002F3C7B">
        <w:rPr>
          <w:rFonts w:ascii="Times New Roman" w:eastAsiaTheme="minorEastAsia" w:hAnsi="Times New Roman" w:cs="Times New Roman"/>
          <w:sz w:val="24"/>
          <w:szCs w:val="24"/>
          <w:lang w:eastAsia="pt-PT"/>
        </w:rPr>
        <w:t>perioperatório,agravando</w:t>
      </w:r>
      <w:proofErr w:type="gramEnd"/>
      <w:r w:rsidRPr="002F3C7B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as emergências obstétricas já conhecidas e o prognóstico neonatal. </w:t>
      </w:r>
    </w:p>
    <w:p w14:paraId="62EA5F69" w14:textId="77777777" w:rsidR="00363806" w:rsidRPr="002F3C7B" w:rsidRDefault="00363806" w:rsidP="00363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F3C7B">
        <w:rPr>
          <w:rFonts w:ascii="Times New Roman" w:eastAsiaTheme="minorEastAsia" w:hAnsi="Times New Roman" w:cs="Times New Roman"/>
          <w:sz w:val="24"/>
          <w:szCs w:val="24"/>
          <w:lang w:eastAsia="pt-PT"/>
        </w:rPr>
        <w:t>Referências: </w:t>
      </w:r>
    </w:p>
    <w:p w14:paraId="545B19E2" w14:textId="77777777" w:rsidR="00363806" w:rsidRPr="002F3C7B" w:rsidRDefault="00363806" w:rsidP="00363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2F3C7B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International J Of Hematology. </w:t>
      </w:r>
      <w:r w:rsidRPr="002F3C7B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2020; 113(1), 45-57</w:t>
      </w:r>
    </w:p>
    <w:p w14:paraId="45FCCBAB" w14:textId="77777777" w:rsidR="00363806" w:rsidRPr="002F3C7B" w:rsidRDefault="00363806" w:rsidP="00363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2F3C7B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J Thromb Haemost. 2020; 18:1648-1652</w:t>
      </w:r>
    </w:p>
    <w:p w14:paraId="0E1E2D6D" w14:textId="77777777" w:rsidR="00363806" w:rsidRPr="002F3C7B" w:rsidRDefault="00363806" w:rsidP="00363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F3C7B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The Journal </w:t>
      </w:r>
      <w:proofErr w:type="gramStart"/>
      <w:r w:rsidRPr="002F3C7B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Of</w:t>
      </w:r>
      <w:proofErr w:type="gramEnd"/>
      <w:r w:rsidRPr="002F3C7B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 Maternal-Fetal &amp; Neonatal Medicine. </w:t>
      </w:r>
      <w:r w:rsidRPr="002F3C7B">
        <w:rPr>
          <w:rFonts w:ascii="Times New Roman" w:eastAsiaTheme="minorEastAsia" w:hAnsi="Times New Roman" w:cs="Times New Roman"/>
          <w:sz w:val="24"/>
          <w:szCs w:val="24"/>
          <w:lang w:eastAsia="pt-PT"/>
        </w:rPr>
        <w:t>2016; 30(7), 779-788</w:t>
      </w:r>
    </w:p>
    <w:p w14:paraId="36C15AF5" w14:textId="77777777" w:rsidR="00363806" w:rsidRPr="002F3C7B" w:rsidRDefault="00363806" w:rsidP="003638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2F3C7B">
        <w:rPr>
          <w:rFonts w:ascii="Times New Roman" w:eastAsiaTheme="minorEastAsia" w:hAnsi="Times New Roman" w:cs="Times New Roman"/>
          <w:sz w:val="24"/>
          <w:szCs w:val="24"/>
          <w:lang w:eastAsia="pt-PT"/>
        </w:rPr>
        <w:lastRenderedPageBreak/>
        <w:t>__________________________________________________________</w:t>
      </w:r>
    </w:p>
    <w:p w14:paraId="6EAD561C" w14:textId="77777777" w:rsidR="00237886" w:rsidRDefault="00363806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B"/>
    <w:rsid w:val="00363806"/>
    <w:rsid w:val="00C07CB2"/>
    <w:rsid w:val="00CD028B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13CD8-FA5D-4F6E-871C-80C4C0B6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2021-04-19T09:09:00Z</dcterms:created>
  <dcterms:modified xsi:type="dcterms:W3CDTF">2021-04-19T09:09:00Z</dcterms:modified>
</cp:coreProperties>
</file>