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6FE2" w14:textId="77777777" w:rsidR="0058451F" w:rsidRDefault="0058451F" w:rsidP="005845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F27B19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Título:</w:t>
      </w:r>
      <w:r w:rsidRPr="00F27B19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Lidocaína intravenosa intraoperatória e qualidade de vida no follow-up de doentes submetidos a Bypass Gástrico </w:t>
      </w:r>
    </w:p>
    <w:p w14:paraId="0249118A" w14:textId="77777777" w:rsidR="0058451F" w:rsidRDefault="0058451F" w:rsidP="0058451F">
      <w:pPr>
        <w:pStyle w:val="NormalWeb"/>
      </w:pPr>
      <w:r>
        <w:rPr>
          <w:b/>
          <w:bCs/>
        </w:rPr>
        <w:t>Autores:</w:t>
      </w:r>
      <w:r>
        <w:t xml:space="preserve"> Carla Cavaleiro1,2, Sara Salvador1, Ana Sofia Tomás1, Sofia Lourenço1, Andreia Sá1, Humberto Machado1,2 </w:t>
      </w:r>
    </w:p>
    <w:p w14:paraId="483285D7" w14:textId="77777777" w:rsidR="0058451F" w:rsidRPr="00EE4E10" w:rsidRDefault="0058451F" w:rsidP="0058451F">
      <w:pPr>
        <w:pStyle w:val="NormalWeb"/>
      </w:pPr>
      <w:r>
        <w:rPr>
          <w:b/>
          <w:bCs/>
        </w:rPr>
        <w:t>Instituições:</w:t>
      </w:r>
      <w:r>
        <w:t xml:space="preserve"> 1 Serviço Anestesiologia_CHUP 2 ICBAS_UP </w:t>
      </w:r>
    </w:p>
    <w:p w14:paraId="5545777A" w14:textId="77777777" w:rsidR="0058451F" w:rsidRPr="00F27B19" w:rsidRDefault="0058451F" w:rsidP="005845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EE4E10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Área Terapêutica/Tema:</w:t>
      </w:r>
      <w:r w:rsidRPr="00F27B19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Abordagem do doente COVID-19</w:t>
      </w:r>
    </w:p>
    <w:p w14:paraId="65056327" w14:textId="77777777" w:rsidR="0058451F" w:rsidRPr="00F27B19" w:rsidRDefault="0058451F" w:rsidP="005845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F27B19">
        <w:rPr>
          <w:rFonts w:ascii="Times New Roman" w:eastAsiaTheme="minorEastAsia" w:hAnsi="Times New Roman" w:cs="Times New Roman"/>
          <w:sz w:val="24"/>
          <w:szCs w:val="24"/>
          <w:lang w:eastAsia="pt-PT"/>
        </w:rPr>
        <w:t>(CONTÉM FORMULÁRIO DE PROPOSTAS DE AUDITORIA CLÍNICA DO CHUP)</w:t>
      </w:r>
    </w:p>
    <w:p w14:paraId="1AB9B539" w14:textId="77777777" w:rsidR="0058451F" w:rsidRPr="00F27B19" w:rsidRDefault="0058451F" w:rsidP="005845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</w:p>
    <w:p w14:paraId="616A0E51" w14:textId="77777777" w:rsidR="0058451F" w:rsidRPr="00F27B19" w:rsidRDefault="0058451F" w:rsidP="005845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F27B19">
        <w:rPr>
          <w:rFonts w:ascii="Times New Roman" w:eastAsiaTheme="minorEastAsia" w:hAnsi="Times New Roman" w:cs="Times New Roman"/>
          <w:sz w:val="24"/>
          <w:szCs w:val="24"/>
          <w:lang w:eastAsia="pt-PT"/>
        </w:rPr>
        <w:t>Resumo:</w:t>
      </w:r>
    </w:p>
    <w:p w14:paraId="3CB4259F" w14:textId="77777777" w:rsidR="0058451F" w:rsidRPr="00F27B19" w:rsidRDefault="0058451F" w:rsidP="005845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F27B19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Introdução: O impacto da cirurgia bariátrica na Qualidade de Vida está menos estabelecido que a sua efetividade no peso e nas comorbilidades.1 </w:t>
      </w:r>
    </w:p>
    <w:p w14:paraId="661429B0" w14:textId="77777777" w:rsidR="0058451F" w:rsidRPr="00F27B19" w:rsidRDefault="0058451F" w:rsidP="005845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F27B19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Este estudo tem como principal objetivo avaliar a qualidade de vida pós Bypass Gástrico (BG) e descrever a influência da administração de lidocaína endovenosa no intra-opertório(L). </w:t>
      </w:r>
    </w:p>
    <w:p w14:paraId="2E90387A" w14:textId="77777777" w:rsidR="0058451F" w:rsidRPr="002F3C7B" w:rsidRDefault="0058451F" w:rsidP="005845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</w:pPr>
      <w:r w:rsidRPr="00F27B19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Metodologia: Auditoria prospetiva após aprovação institucional, realizada em doentes submetidos a BG na nossa instituição desde 2011 até agosto 2018 e que consentiram em responder a inquérito telefónico realizado em 2020. Dados demográficos, fármacos analgésicos do intra-operatório e unidade de cuidados pós-anestésicos, dor crónica pré e pós-operatória e localização, Inquérito SF-36, entre outros foram os dados analisados. </w:t>
      </w:r>
      <w:r w:rsidRPr="002F3C7B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Análise estatística descritiva realizada em SPSS v26 Statistics® software.</w:t>
      </w:r>
    </w:p>
    <w:p w14:paraId="6DD37D9B" w14:textId="77777777" w:rsidR="0058451F" w:rsidRPr="00F27B19" w:rsidRDefault="0058451F" w:rsidP="005845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F27B19">
        <w:rPr>
          <w:rFonts w:ascii="Times New Roman" w:eastAsiaTheme="minorEastAsia" w:hAnsi="Times New Roman" w:cs="Times New Roman"/>
          <w:sz w:val="24"/>
          <w:szCs w:val="24"/>
          <w:lang w:eastAsia="pt-PT"/>
        </w:rPr>
        <w:t>Resultados: Responderam ao questionário telefónico 303 (55%) dos doentes submetidos a BG. NaTabela1 apresentados dados do grupo L (</w:t>
      </w:r>
      <w:proofErr w:type="gramStart"/>
      <w:r w:rsidRPr="00F27B19">
        <w:rPr>
          <w:rFonts w:ascii="Times New Roman" w:eastAsiaTheme="minorEastAsia" w:hAnsi="Times New Roman" w:cs="Times New Roman"/>
          <w:sz w:val="24"/>
          <w:szCs w:val="24"/>
          <w:lang w:eastAsia="pt-PT"/>
        </w:rPr>
        <w:t>GL;n</w:t>
      </w:r>
      <w:proofErr w:type="gramEnd"/>
      <w:r w:rsidRPr="00F27B19">
        <w:rPr>
          <w:rFonts w:ascii="Times New Roman" w:eastAsiaTheme="minorEastAsia" w:hAnsi="Times New Roman" w:cs="Times New Roman"/>
          <w:sz w:val="24"/>
          <w:szCs w:val="24"/>
          <w:lang w:eastAsia="pt-PT"/>
        </w:rPr>
        <w:t>=67) e grupo não L (GNL;n=256) relativos a altura e peso (média kg) pré-operatório de 114 no GL e 115 no GNL e peso atual de 78 no GL e 80 no NGL. Na Tabela2, observam-se 19% doentes masculinos GL e 14% GNL com classificação ASA3 de 67% ASA3 no GL e 56% no GNL. A média das doses (mcg) no intra-operatório de fentanil foi de 210 no GL e 250 no GNL; remifentanil 1,40g no GL e 1,950g no GNL. Administração de tramadol e morfina em: GL 60% e 4% no GL; 85% e 8% no GNL. A média da dose dos doentes sob bólus e perfusão (48) foi de124mg+140mg/h). Complicações observadas em 18 dos participantes no estudo (12 GNL).  Das 6 reintervenções, 5 no GNL. Observados 13 doentes com dor crónica abdominal. 102 (34%) doentes referem ter dor crónica atualmente (abdominal/osteoarticular), 25</w:t>
      </w:r>
      <w:proofErr w:type="gramStart"/>
      <w:r w:rsidRPr="00F27B19">
        <w:rPr>
          <w:rFonts w:ascii="Times New Roman" w:eastAsiaTheme="minorEastAsia" w:hAnsi="Times New Roman" w:cs="Times New Roman"/>
          <w:sz w:val="24"/>
          <w:szCs w:val="24"/>
          <w:lang w:eastAsia="pt-PT"/>
        </w:rPr>
        <w:t>%  dos</w:t>
      </w:r>
      <w:proofErr w:type="gramEnd"/>
      <w:r w:rsidRPr="00F27B19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doentes do GL e 36% GNL, sendo que 10% de novo no GL e 13% no NGL. Relativamente aos 8 domínios do Inquérito SF-36 (Tabela3) observam-se valores (média) acima de 80 na capacidade functional, limitação dos aspetos físicos, estado geral de saúde, aspeto social e emocional no GL; no GNL os valores são todos inferiors a 80, exceto no aspeto social que é igual a 80. </w:t>
      </w:r>
    </w:p>
    <w:p w14:paraId="6586829E" w14:textId="77777777" w:rsidR="0058451F" w:rsidRPr="00F27B19" w:rsidRDefault="0058451F" w:rsidP="005845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F27B19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Discussão e Conclusões: Os participantes no estudo do GL apresentaram valores mais elevados na maioria dos 8 domínios do inquérito SF-36 para avaliação da qualidade de vida após BG. Relativamente aos fármacos analgésicos do período intra e pós-operatório imediato observa-se que as doses de fentanil e remifentanil foram inferiores no GL. Maior percentagem de doentes do GNL necessitou </w:t>
      </w:r>
      <w:proofErr w:type="gramStart"/>
      <w:r w:rsidRPr="00F27B19">
        <w:rPr>
          <w:rFonts w:ascii="Times New Roman" w:eastAsiaTheme="minorEastAsia" w:hAnsi="Times New Roman" w:cs="Times New Roman"/>
          <w:sz w:val="24"/>
          <w:szCs w:val="24"/>
          <w:lang w:eastAsia="pt-PT"/>
        </w:rPr>
        <w:t>de  tramadol</w:t>
      </w:r>
      <w:proofErr w:type="gramEnd"/>
      <w:r w:rsidRPr="00F27B19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e morfina. O GL teve menos complicações. Este estudo apresenta pela primeira vez a prevalência de dor crónica em doentes submetidos a BG em Portugal, sendo que doentes do GL apresentam menor percentage de dor crónica que os do grupo NGL. Na opinião dos autores estes achados devem ser analisados minuciosamente pela comunidade científica, com o objetivo de instituir práticas que otimizem o outcome dos </w:t>
      </w:r>
      <w:proofErr w:type="gramStart"/>
      <w:r w:rsidRPr="00F27B19">
        <w:rPr>
          <w:rFonts w:ascii="Times New Roman" w:eastAsiaTheme="minorEastAsia" w:hAnsi="Times New Roman" w:cs="Times New Roman"/>
          <w:sz w:val="24"/>
          <w:szCs w:val="24"/>
          <w:lang w:eastAsia="pt-PT"/>
        </w:rPr>
        <w:t>doentes  submetidos</w:t>
      </w:r>
      <w:proofErr w:type="gramEnd"/>
      <w:r w:rsidRPr="00F27B19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a BG.</w:t>
      </w:r>
    </w:p>
    <w:p w14:paraId="744DC308" w14:textId="77777777" w:rsidR="0058451F" w:rsidRPr="002F3C7B" w:rsidRDefault="0058451F" w:rsidP="005845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</w:pPr>
      <w:r w:rsidRPr="00F27B19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</w:t>
      </w:r>
      <w:r w:rsidRPr="002F3C7B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1Curr Obes Rep. 2020; 9:307–314]</w:t>
      </w:r>
    </w:p>
    <w:p w14:paraId="4E813688" w14:textId="77777777" w:rsidR="00237886" w:rsidRDefault="0058451F"/>
    <w:sectPr w:rsidR="00237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36"/>
    <w:rsid w:val="00153636"/>
    <w:rsid w:val="0058451F"/>
    <w:rsid w:val="00C07CB2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90742-7850-4048-BBB6-D246E820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51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Admedic</dc:creator>
  <cp:keywords/>
  <dc:description/>
  <cp:lastModifiedBy>Admedic</cp:lastModifiedBy>
  <cp:revision>2</cp:revision>
  <dcterms:created xsi:type="dcterms:W3CDTF">2021-04-19T09:10:00Z</dcterms:created>
  <dcterms:modified xsi:type="dcterms:W3CDTF">2021-04-19T09:10:00Z</dcterms:modified>
</cp:coreProperties>
</file>