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0C64" w14:textId="77777777" w:rsidR="0012236B" w:rsidRDefault="0012236B" w:rsidP="0012236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20B3802" w14:textId="77777777" w:rsidR="0012236B" w:rsidRDefault="0012236B" w:rsidP="0012236B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370A335" w14:textId="77777777" w:rsidR="0012236B" w:rsidRDefault="0012236B" w:rsidP="0012236B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Título: Hiperfenilalanemia: Abordagem multidisciplinar em adenoidectomia pediátrica</w:t>
      </w:r>
    </w:p>
    <w:p w14:paraId="0331F31C" w14:textId="77777777" w:rsidR="0012236B" w:rsidRDefault="0012236B" w:rsidP="0012236B">
      <w:pPr>
        <w:pStyle w:val="NormalWeb"/>
      </w:pPr>
      <w:r>
        <w:rPr>
          <w:b/>
          <w:bCs/>
        </w:rPr>
        <w:t>Autores:</w:t>
      </w:r>
      <w:r>
        <w:t xml:space="preserve"> Ana Rita Arantes, Celina Gomes, Elsa Soares, Cristina Gomes.</w:t>
      </w:r>
    </w:p>
    <w:p w14:paraId="2E483E42" w14:textId="77777777" w:rsidR="0012236B" w:rsidRDefault="0012236B" w:rsidP="0012236B">
      <w:pPr>
        <w:pStyle w:val="NormalWeb"/>
      </w:pPr>
      <w:r>
        <w:rPr>
          <w:b/>
          <w:bCs/>
        </w:rPr>
        <w:t>Instituições:</w:t>
      </w:r>
      <w:r>
        <w:t xml:space="preserve"> Hospital de Braga</w:t>
      </w:r>
    </w:p>
    <w:p w14:paraId="24892F97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Anestesia e Cuidados Intensivos Pediátricos (Paediatric Anaesthesia and Intensive Care)</w:t>
      </w:r>
    </w:p>
    <w:p w14:paraId="3DF37485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</w:p>
    <w:p w14:paraId="3FC9E2CA" w14:textId="77777777" w:rsidR="0012236B" w:rsidRDefault="0012236B" w:rsidP="0012236B">
      <w:pPr>
        <w:jc w:val="both"/>
        <w:rPr>
          <w:lang w:val="pt-PT"/>
        </w:rPr>
      </w:pPr>
      <w:r>
        <w:rPr>
          <w:b/>
          <w:bCs/>
          <w:lang w:val="pt-PT"/>
        </w:rPr>
        <w:t>Resumo:</w:t>
      </w:r>
    </w:p>
    <w:p w14:paraId="3F0E3C5F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Os distúrbios metabólicos representam verdadeiros desafios para o anestesista, pela sua raridade e particularidades. A Hiperfenilalanemia (HFE) é uma doença autossómica recessiva causada pela deficiência na enzima fenilalanina hidroxilase ou do co-fator tetra-hidrobiopterina, resultando no défice de degradação da fenilalanina e consequente elevação sérica. (1,2)</w:t>
      </w:r>
    </w:p>
    <w:p w14:paraId="202ECBF3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Caso clínico</w:t>
      </w:r>
    </w:p>
    <w:p w14:paraId="3E52EF09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Criança, ASA 2, 2 anos, sexo feminino, 12kg, proposta para adenoidectomia e miringotomia bilateral. Diagnóstico de HFE à nascença, controlada com dieta de restrição proteica. Sem outros antecedentes de relevo. Na consulta pré-anestésica foi pedida vaga de Cuidados Intermédios Pediátricos (UCIPed).</w:t>
      </w:r>
    </w:p>
    <w:p w14:paraId="0EA90A3C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A criança foi internada no dia prévio à cirurgia para orientação do jejum pré-operatório e fluidoterapia de reposição com fluido polieletrolítico com glucose a 5% (PoliG 5%). A medicação pré-anestésica foi realizada com midazolam (0.1mg/kg, IV). Foi monitorizada de acordo com o standard da ASA e profundidade anestésica (BIS). A anestesia geral foi induzida com fentanil (1µg/kg, IV) e tiopental (6mg/kg, IV). A via aérea foi assegurada com máscara laríngea aramada nº2, tendo sido administrada lidocaína (1mg/kg, IV) endovenosa antes da sua introdução. A anestesia foi mantida com sevoflurano em ar/oxigénio, titulado para um BIS 40-60. Foi assegurada a fluidoterapia de reposição com PoliG 5% a 45mL/h. A profilaxia de náuseas e vómitos foi realizada com dexametasona (0,15mg/kg, IV) e ondansetron (0,1mg/kg, IV) e a analgesia com paracetamol (20mg/kg, IV). O procedimento decorreu sem intercorrências.</w:t>
      </w:r>
    </w:p>
    <w:p w14:paraId="05FA4ABC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No pós-operatório, a criança desenvolveu eritema pruriginoso periocular, com delimitação retangular, compatível com os adesivos de proteção ocular intraoperatórios, com resolução auto-limitada no primeiro dia de pós-operatório.</w:t>
      </w:r>
    </w:p>
    <w:p w14:paraId="6E11C4D8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Discussão</w:t>
      </w:r>
    </w:p>
    <w:p w14:paraId="3AB9754D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 xml:space="preserve">Neste caso clínico, a equipa anestésica realizou investigação sobre a condição clínica apresentada e elaborou um plano anestésico, em estreita colaboração com os serviços de Otorrinolaringologia e Pediatria. A fim de prevenir os efeitos deletérios de um jejum prolongado, foi assegurado o aporte de glucose durante o período de jejum.(1) A indução anestésica com tiopental visou prevenir a potenciação da inibição do complexo mitocrondial I induzida pela elevação sérica de fenilalanina e pelo propofol, que poderia resultar em hipertermia e acidose metabólica.(1,2) Além disso, é importante minimizar a deglutição de sangue, cuja digestão pode resultar em picos de hiperfenilalanina.(1) Como evento adverso, reportamos apenas o eritema ocular causado pela proteção ocular intraoperatória, que poderá estar associado à sensibilidade cutânea induzida pela HFE.(1) Concluímos que uma abordagem multidisciplinar e o planeamento adequado do ato </w:t>
      </w:r>
      <w:r>
        <w:lastRenderedPageBreak/>
        <w:t>anestésico determinou o sucesso anestésico-cirúrgico, realçando a importância da Medicina centrada no doente.</w:t>
      </w:r>
    </w:p>
    <w:p w14:paraId="77D5D4EC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Bibliografia</w:t>
      </w:r>
    </w:p>
    <w:p w14:paraId="61566CA6" w14:textId="77777777" w:rsidR="0012236B" w:rsidRDefault="0012236B" w:rsidP="0012236B">
      <w:pPr>
        <w:pStyle w:val="NormalWeb"/>
        <w:spacing w:before="0" w:beforeAutospacing="0" w:after="0" w:afterAutospacing="0"/>
        <w:jc w:val="both"/>
      </w:pPr>
      <w:r>
        <w:t>Curr Anesthesiol Rep. 2019; 9(3): 340–359.</w:t>
      </w:r>
    </w:p>
    <w:p w14:paraId="4B931384" w14:textId="77777777" w:rsidR="0012236B" w:rsidRDefault="0012236B" w:rsidP="0012236B">
      <w:pPr>
        <w:pStyle w:val="NormalWeb"/>
        <w:pBdr>
          <w:bottom w:val="single" w:sz="12" w:space="1" w:color="auto"/>
        </w:pBdr>
        <w:spacing w:before="0" w:beforeAutospacing="0" w:after="0" w:afterAutospacing="0"/>
        <w:jc w:val="both"/>
      </w:pPr>
      <w:r>
        <w:t>J Neurosurg Anesthesiol. 2018; 30(1): p 85-86.</w:t>
      </w:r>
    </w:p>
    <w:p w14:paraId="2E044E44" w14:textId="77777777" w:rsidR="00237886" w:rsidRDefault="0012236B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38"/>
    <w:rsid w:val="0012236B"/>
    <w:rsid w:val="003A5D38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3AF3-50D2-4426-890A-7CFCC27F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36B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3</cp:revision>
  <dcterms:created xsi:type="dcterms:W3CDTF">2021-04-19T09:27:00Z</dcterms:created>
  <dcterms:modified xsi:type="dcterms:W3CDTF">2021-04-19T09:28:00Z</dcterms:modified>
</cp:coreProperties>
</file>