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F0C64" w14:textId="77777777" w:rsidR="0012236B" w:rsidRDefault="0012236B" w:rsidP="0012236B">
      <w:pPr>
        <w:pStyle w:val="NormalWeb"/>
        <w:spacing w:before="0" w:beforeAutospacing="0" w:after="0" w:afterAutospacing="0"/>
        <w:jc w:val="both"/>
        <w:rPr>
          <w:b/>
          <w:bCs/>
        </w:rPr>
      </w:pPr>
    </w:p>
    <w:p w14:paraId="720B3802" w14:textId="77777777" w:rsidR="0012236B" w:rsidRDefault="0012236B" w:rsidP="0012236B">
      <w:pPr>
        <w:pStyle w:val="NormalWeb"/>
        <w:spacing w:before="0" w:beforeAutospacing="0" w:after="0" w:afterAutospacing="0"/>
        <w:jc w:val="both"/>
        <w:rPr>
          <w:b/>
          <w:bCs/>
        </w:rPr>
      </w:pPr>
    </w:p>
    <w:p w14:paraId="3370A335" w14:textId="77777777" w:rsidR="0012236B" w:rsidRDefault="0012236B" w:rsidP="0012236B">
      <w:pPr>
        <w:pStyle w:val="Normal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Título: Hiperfenilalanemia: Abordagem multidisciplinar em adenoidectomia pediátrica</w:t>
      </w:r>
    </w:p>
    <w:p w14:paraId="0331F31C" w14:textId="77777777" w:rsidR="0012236B" w:rsidRDefault="0012236B" w:rsidP="0012236B">
      <w:pPr>
        <w:pStyle w:val="NormalWeb"/>
      </w:pPr>
      <w:r>
        <w:rPr>
          <w:b/>
          <w:bCs/>
        </w:rPr>
        <w:t>Autores:</w:t>
      </w:r>
      <w:r>
        <w:t xml:space="preserve"> Ana Rita Arantes, Celina Gomes, Elsa Soares, Cristina Gomes.</w:t>
      </w:r>
    </w:p>
    <w:p w14:paraId="2E483E42" w14:textId="77777777" w:rsidR="0012236B" w:rsidRDefault="0012236B" w:rsidP="0012236B">
      <w:pPr>
        <w:pStyle w:val="NormalWeb"/>
      </w:pPr>
      <w:r>
        <w:rPr>
          <w:b/>
          <w:bCs/>
        </w:rPr>
        <w:t>Instituições:</w:t>
      </w:r>
      <w:r>
        <w:t xml:space="preserve"> Hospital de Braga</w:t>
      </w:r>
    </w:p>
    <w:p w14:paraId="24892F97" w14:textId="77777777" w:rsidR="0012236B" w:rsidRDefault="0012236B" w:rsidP="0012236B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Área Terapêutica/Tema:</w:t>
      </w:r>
      <w:r>
        <w:t xml:space="preserve"> Anestesia e Cuidados Intensivos Pediátricos (Paediatric Anaesthesia and Intensive Care)</w:t>
      </w:r>
    </w:p>
    <w:p w14:paraId="3DF37485" w14:textId="77777777" w:rsidR="0012236B" w:rsidRDefault="0012236B" w:rsidP="0012236B">
      <w:pPr>
        <w:pStyle w:val="NormalWeb"/>
        <w:spacing w:before="0" w:beforeAutospacing="0" w:after="0" w:afterAutospacing="0"/>
        <w:jc w:val="both"/>
      </w:pPr>
    </w:p>
    <w:p w14:paraId="3FC9E2CA" w14:textId="77777777" w:rsidR="0012236B" w:rsidRDefault="0012236B" w:rsidP="0012236B">
      <w:pPr>
        <w:jc w:val="both"/>
        <w:rPr>
          <w:lang w:val="pt-PT"/>
        </w:rPr>
      </w:pPr>
      <w:r>
        <w:rPr>
          <w:b/>
          <w:bCs/>
          <w:lang w:val="pt-PT"/>
        </w:rPr>
        <w:t>Resumo:</w:t>
      </w:r>
    </w:p>
    <w:p w14:paraId="3F0E3C5F" w14:textId="77777777" w:rsidR="0012236B" w:rsidRDefault="0012236B" w:rsidP="0012236B">
      <w:pPr>
        <w:pStyle w:val="NormalWeb"/>
        <w:spacing w:before="0" w:beforeAutospacing="0" w:after="0" w:afterAutospacing="0"/>
        <w:jc w:val="both"/>
      </w:pPr>
      <w:r>
        <w:t>Os distúrbios metabólicos representam verdadeiros desafios para o anestesista, pela sua raridade e particularidades. A Hiperfenilalanemia (HFE) é uma doença autossómica recessiva causada pela deficiência na enzima fenilalanina hidroxilase ou do co-fator tetra-hidrobiopterina, resultando no défice de degradação da fenilalanina e consequente elevação sérica. (1,2)</w:t>
      </w:r>
    </w:p>
    <w:p w14:paraId="202ECBF3" w14:textId="77777777" w:rsidR="0012236B" w:rsidRDefault="0012236B" w:rsidP="0012236B">
      <w:pPr>
        <w:pStyle w:val="NormalWeb"/>
        <w:spacing w:before="0" w:beforeAutospacing="0" w:after="0" w:afterAutospacing="0"/>
        <w:jc w:val="both"/>
      </w:pPr>
      <w:r>
        <w:t>Caso clínico</w:t>
      </w:r>
    </w:p>
    <w:p w14:paraId="3E52EF09" w14:textId="77777777" w:rsidR="0012236B" w:rsidRDefault="0012236B" w:rsidP="0012236B">
      <w:pPr>
        <w:pStyle w:val="NormalWeb"/>
        <w:spacing w:before="0" w:beforeAutospacing="0" w:after="0" w:afterAutospacing="0"/>
        <w:jc w:val="both"/>
      </w:pPr>
      <w:r>
        <w:t>Criança, ASA 2, 2 anos, sexo feminino, 12kg, proposta para adenoidectomia e miringotomia bilateral. Diagnóstico de HFE à nascença, controlada com dieta de restrição proteica. Sem outros antecedentes de relevo. Na consulta pré-anestésica foi pedida vaga de Cuidados Intermédios Pediátricos (UCIPed).</w:t>
      </w:r>
    </w:p>
    <w:p w14:paraId="0EA90A3C" w14:textId="77777777" w:rsidR="0012236B" w:rsidRDefault="0012236B" w:rsidP="0012236B">
      <w:pPr>
        <w:pStyle w:val="NormalWeb"/>
        <w:spacing w:before="0" w:beforeAutospacing="0" w:after="0" w:afterAutospacing="0"/>
        <w:jc w:val="both"/>
      </w:pPr>
      <w:r>
        <w:t>A criança foi internada no dia prévio à cirurgia para orientação do jejum pré-operatório e fluidoterapia de reposição com fluido polieletrolítico com glucose a 5% (PoliG 5%). A medicação pré-anestésica foi realizada com midazolam (0.1mg/kg, IV). Foi monitorizada de acordo com o standard da ASA e profundidade anestésica (BIS). A anestesia geral foi induzida com fentanil (1µg/kg, IV) e tiopental (6mg/kg, IV). A via aérea foi assegurada com máscara laríngea aramada nº2, tendo sido administrada lidocaína (1mg/kg, IV) endovenosa antes da sua introdução. A anestesia foi mantida com sevoflurano em ar/oxigénio, titulado para um BIS 40-60. Foi assegurada a fluidoterapia de reposição com PoliG 5% a 45mL/h. A profilaxia de náuseas e vómitos foi realizada com dexametasona (0,15mg/kg, IV) e ondansetron (0,1mg/kg, IV) e a analgesia com paracetamol (20mg/kg, IV). O procedimento decorreu sem intercorrências.</w:t>
      </w:r>
    </w:p>
    <w:p w14:paraId="05FA4ABC" w14:textId="77777777" w:rsidR="0012236B" w:rsidRDefault="0012236B" w:rsidP="0012236B">
      <w:pPr>
        <w:pStyle w:val="NormalWeb"/>
        <w:spacing w:before="0" w:beforeAutospacing="0" w:after="0" w:afterAutospacing="0"/>
        <w:jc w:val="both"/>
      </w:pPr>
      <w:r>
        <w:t>No pós-operatório, a criança desenvolveu eritema pruriginoso periocular, com delimitação retangular, compatível com os adesivos de proteção ocular intraoperatórios, com resolução auto-limitada no primeiro dia de pós-operatório.</w:t>
      </w:r>
    </w:p>
    <w:p w14:paraId="6E11C4D8" w14:textId="77777777" w:rsidR="0012236B" w:rsidRDefault="0012236B" w:rsidP="0012236B">
      <w:pPr>
        <w:pStyle w:val="NormalWeb"/>
        <w:spacing w:before="0" w:beforeAutospacing="0" w:after="0" w:afterAutospacing="0"/>
        <w:jc w:val="both"/>
      </w:pPr>
      <w:r>
        <w:t>Discussão</w:t>
      </w:r>
    </w:p>
    <w:p w14:paraId="3AB9754D" w14:textId="77777777" w:rsidR="0012236B" w:rsidRDefault="0012236B" w:rsidP="0012236B">
      <w:pPr>
        <w:pStyle w:val="NormalWeb"/>
        <w:spacing w:before="0" w:beforeAutospacing="0" w:after="0" w:afterAutospacing="0"/>
        <w:jc w:val="both"/>
      </w:pPr>
      <w:r>
        <w:t xml:space="preserve">Neste caso clínico, a equipa anestésica realizou investigação sobre a condição clínica apresentada e elaborou um plano anestésico, em estreita colaboração com os serviços de Otorrinolaringologia e Pediatria. A fim de prevenir os efeitos deletérios de um jejum prolongado, foi assegurado o aporte de glucose durante o período de jejum.(1) A indução anestésica com tiopental visou prevenir a potenciação da inibição do complexo mitocrondial I induzida pela elevação sérica de fenilalanina e pelo propofol, que poderia resultar em hipertermia e acidose metabólica.(1,2) Além disso, é importante minimizar a deglutição de sangue, cuja digestão pode resultar em picos de hiperfenilalanina.(1) Como evento adverso, reportamos apenas o eritema ocular causado pela proteção ocular intraoperatória, que poderá estar associado à sensibilidade cutânea induzida pela HFE.(1) Concluímos que uma abordagem multidisciplinar e o planeamento adequado do ato </w:t>
      </w:r>
      <w:r>
        <w:lastRenderedPageBreak/>
        <w:t>anestésico determinou o sucesso anestésico-cirúrgico, realçando a importância da Medicina centrada no doente.</w:t>
      </w:r>
    </w:p>
    <w:p w14:paraId="77D5D4EC" w14:textId="77777777" w:rsidR="0012236B" w:rsidRDefault="0012236B" w:rsidP="0012236B">
      <w:pPr>
        <w:pStyle w:val="NormalWeb"/>
        <w:spacing w:before="0" w:beforeAutospacing="0" w:after="0" w:afterAutospacing="0"/>
        <w:jc w:val="both"/>
      </w:pPr>
      <w:r>
        <w:t>Bibliografia</w:t>
      </w:r>
    </w:p>
    <w:p w14:paraId="61566CA6" w14:textId="77777777" w:rsidR="0012236B" w:rsidRDefault="0012236B" w:rsidP="0012236B">
      <w:pPr>
        <w:pStyle w:val="NormalWeb"/>
        <w:spacing w:before="0" w:beforeAutospacing="0" w:after="0" w:afterAutospacing="0"/>
        <w:jc w:val="both"/>
      </w:pPr>
      <w:r>
        <w:t>Curr Anesthesiol Rep. 2019; 9(3): 340–359.</w:t>
      </w:r>
    </w:p>
    <w:p w14:paraId="4B931384" w14:textId="77777777" w:rsidR="0012236B" w:rsidRDefault="0012236B" w:rsidP="0012236B">
      <w:pPr>
        <w:pStyle w:val="NormalWeb"/>
        <w:pBdr>
          <w:bottom w:val="single" w:sz="12" w:space="1" w:color="auto"/>
        </w:pBdr>
        <w:spacing w:before="0" w:beforeAutospacing="0" w:after="0" w:afterAutospacing="0"/>
        <w:jc w:val="both"/>
      </w:pPr>
      <w:r>
        <w:t>J Neurosurg Anesthesiol. 2018; 30(1): p 85-86.</w:t>
      </w:r>
    </w:p>
    <w:p w14:paraId="2E044E44" w14:textId="77777777" w:rsidR="00237886" w:rsidRDefault="0012236B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38"/>
    <w:rsid w:val="0012236B"/>
    <w:rsid w:val="003A5D38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A3AF3-50D2-4426-890A-7CFCC27F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236B"/>
    <w:pPr>
      <w:spacing w:before="100" w:beforeAutospacing="1" w:after="100" w:afterAutospacing="1"/>
    </w:pPr>
    <w:rPr>
      <w:rFonts w:eastAsiaTheme="minorEastAsia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7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3</cp:revision>
  <dcterms:created xsi:type="dcterms:W3CDTF">2021-04-19T09:27:00Z</dcterms:created>
  <dcterms:modified xsi:type="dcterms:W3CDTF">2021-04-19T09:28:00Z</dcterms:modified>
</cp:coreProperties>
</file>