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D7DB3" w14:textId="77777777" w:rsidR="00B21BD7" w:rsidRDefault="00B21BD7" w:rsidP="00B21BD7">
      <w:pPr>
        <w:spacing w:after="0" w:line="240" w:lineRule="auto"/>
        <w:jc w:val="both"/>
        <w:rPr>
          <w:rFonts w:ascii="Times New Roman" w:eastAsiaTheme="minorEastAsia" w:hAnsi="Times New Roman" w:cs="Times New Roman"/>
          <w:sz w:val="24"/>
          <w:szCs w:val="24"/>
          <w:lang w:val="en-US" w:eastAsia="pt-PT"/>
        </w:rPr>
      </w:pPr>
      <w:proofErr w:type="spellStart"/>
      <w:r w:rsidRPr="00C92B4C">
        <w:rPr>
          <w:rFonts w:ascii="Times New Roman" w:eastAsiaTheme="minorEastAsia" w:hAnsi="Times New Roman" w:cs="Times New Roman"/>
          <w:b/>
          <w:bCs/>
          <w:sz w:val="24"/>
          <w:szCs w:val="24"/>
          <w:lang w:val="en-US" w:eastAsia="pt-PT"/>
        </w:rPr>
        <w:t>Título</w:t>
      </w:r>
      <w:proofErr w:type="spellEnd"/>
      <w:r w:rsidRPr="00C92B4C">
        <w:rPr>
          <w:rFonts w:ascii="Times New Roman" w:eastAsiaTheme="minorEastAsia" w:hAnsi="Times New Roman" w:cs="Times New Roman"/>
          <w:b/>
          <w:bCs/>
          <w:sz w:val="24"/>
          <w:szCs w:val="24"/>
          <w:lang w:val="en-US" w:eastAsia="pt-PT"/>
        </w:rPr>
        <w:t>:</w:t>
      </w:r>
      <w:r w:rsidRPr="00C92B4C">
        <w:rPr>
          <w:rFonts w:ascii="Times New Roman" w:eastAsiaTheme="minorEastAsia" w:hAnsi="Times New Roman" w:cs="Times New Roman"/>
          <w:sz w:val="24"/>
          <w:szCs w:val="24"/>
          <w:lang w:val="en-US" w:eastAsia="pt-PT"/>
        </w:rPr>
        <w:t xml:space="preserve"> POST OPERATIVE PAIN MANAGEMENT AFTER UNKNOWN LEVEL OF LOWER LIMB AMPUTATION – CASE REPORT</w:t>
      </w:r>
    </w:p>
    <w:p w14:paraId="37DBDA73" w14:textId="77777777" w:rsidR="00B21BD7" w:rsidRDefault="00B21BD7" w:rsidP="00B21BD7">
      <w:pPr>
        <w:pStyle w:val="NormalWeb"/>
      </w:pPr>
      <w:r>
        <w:rPr>
          <w:b/>
          <w:bCs/>
        </w:rPr>
        <w:t>Autores:</w:t>
      </w:r>
      <w:r>
        <w:t xml:space="preserve"> Cláudia Peixoto, Inês Morais, Inês Sousa, João Rodrigues, Carmen Oliveira</w:t>
      </w:r>
    </w:p>
    <w:p w14:paraId="08583DE2" w14:textId="77777777" w:rsidR="00B21BD7" w:rsidRPr="00CF71FC" w:rsidRDefault="00B21BD7" w:rsidP="00B21BD7">
      <w:pPr>
        <w:pStyle w:val="NormalWeb"/>
      </w:pPr>
      <w:r>
        <w:rPr>
          <w:b/>
          <w:bCs/>
        </w:rPr>
        <w:t>Instituições:</w:t>
      </w:r>
      <w:r>
        <w:t xml:space="preserve"> Serviço de Anestesiologia do CHVNG/E</w:t>
      </w:r>
    </w:p>
    <w:p w14:paraId="3C4AA945" w14:textId="77777777" w:rsidR="00B21BD7" w:rsidRDefault="00B21BD7" w:rsidP="00B21BD7">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b/>
          <w:bCs/>
          <w:sz w:val="24"/>
          <w:szCs w:val="24"/>
          <w:lang w:eastAsia="pt-PT"/>
        </w:rPr>
        <w:t>Área Terapêutica/Tema:</w:t>
      </w:r>
      <w:r w:rsidRPr="00C92B4C">
        <w:rPr>
          <w:rFonts w:ascii="Times New Roman" w:eastAsiaTheme="minorEastAsia" w:hAnsi="Times New Roman" w:cs="Times New Roman"/>
          <w:sz w:val="24"/>
          <w:szCs w:val="24"/>
          <w:lang w:eastAsia="pt-PT"/>
        </w:rPr>
        <w:t xml:space="preserve"> Anestesia Regional (Regional </w:t>
      </w:r>
      <w:proofErr w:type="spellStart"/>
      <w:r w:rsidRPr="00C92B4C">
        <w:rPr>
          <w:rFonts w:ascii="Times New Roman" w:eastAsiaTheme="minorEastAsia" w:hAnsi="Times New Roman" w:cs="Times New Roman"/>
          <w:sz w:val="24"/>
          <w:szCs w:val="24"/>
          <w:lang w:eastAsia="pt-PT"/>
        </w:rPr>
        <w:t>Anaesthesia</w:t>
      </w:r>
      <w:proofErr w:type="spellEnd"/>
      <w:r w:rsidRPr="00C92B4C">
        <w:rPr>
          <w:rFonts w:ascii="Times New Roman" w:eastAsiaTheme="minorEastAsia" w:hAnsi="Times New Roman" w:cs="Times New Roman"/>
          <w:sz w:val="24"/>
          <w:szCs w:val="24"/>
          <w:lang w:eastAsia="pt-PT"/>
        </w:rPr>
        <w:t>)</w:t>
      </w:r>
    </w:p>
    <w:p w14:paraId="174C8F51" w14:textId="77777777" w:rsidR="00B21BD7" w:rsidRPr="00C92B4C" w:rsidRDefault="00B21BD7" w:rsidP="00B21BD7">
      <w:pPr>
        <w:spacing w:after="0" w:line="240" w:lineRule="auto"/>
        <w:jc w:val="both"/>
        <w:rPr>
          <w:rFonts w:ascii="Times New Roman" w:eastAsiaTheme="minorEastAsia" w:hAnsi="Times New Roman" w:cs="Times New Roman"/>
          <w:sz w:val="24"/>
          <w:szCs w:val="24"/>
          <w:lang w:eastAsia="pt-PT"/>
        </w:rPr>
      </w:pPr>
    </w:p>
    <w:p w14:paraId="6F22C255" w14:textId="77777777" w:rsidR="00B21BD7" w:rsidRPr="00C92B4C" w:rsidRDefault="00B21BD7" w:rsidP="00B21BD7">
      <w:pPr>
        <w:spacing w:after="0" w:line="240" w:lineRule="auto"/>
        <w:jc w:val="both"/>
        <w:rPr>
          <w:rFonts w:ascii="Times New Roman" w:eastAsia="Times New Roman" w:hAnsi="Times New Roman" w:cs="Times New Roman"/>
          <w:sz w:val="24"/>
          <w:szCs w:val="24"/>
          <w:lang w:val="en-US"/>
        </w:rPr>
      </w:pPr>
      <w:proofErr w:type="spellStart"/>
      <w:r w:rsidRPr="00C92B4C">
        <w:rPr>
          <w:rFonts w:ascii="Times New Roman" w:eastAsia="Times New Roman" w:hAnsi="Times New Roman" w:cs="Times New Roman"/>
          <w:b/>
          <w:bCs/>
          <w:sz w:val="24"/>
          <w:szCs w:val="24"/>
          <w:lang w:val="en-US"/>
        </w:rPr>
        <w:t>Resumo</w:t>
      </w:r>
      <w:proofErr w:type="spellEnd"/>
      <w:r w:rsidRPr="00C92B4C">
        <w:rPr>
          <w:rFonts w:ascii="Times New Roman" w:eastAsia="Times New Roman" w:hAnsi="Times New Roman" w:cs="Times New Roman"/>
          <w:b/>
          <w:bCs/>
          <w:sz w:val="24"/>
          <w:szCs w:val="24"/>
          <w:lang w:val="en-US"/>
        </w:rPr>
        <w:t>:</w:t>
      </w:r>
    </w:p>
    <w:p w14:paraId="238621A7" w14:textId="77777777" w:rsidR="00B21BD7" w:rsidRPr="00C92B4C" w:rsidRDefault="00B21BD7" w:rsidP="00B21BD7">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 xml:space="preserve">Introduction: Pain after major lower limb amputation for peripheral arterial disease is a significant problem. Immediate postoperative pain management commonly involves epidural or intravenous </w:t>
      </w:r>
      <w:proofErr w:type="gramStart"/>
      <w:r w:rsidRPr="00C92B4C">
        <w:rPr>
          <w:rFonts w:ascii="Times New Roman" w:eastAsiaTheme="minorEastAsia" w:hAnsi="Times New Roman" w:cs="Times New Roman"/>
          <w:sz w:val="24"/>
          <w:szCs w:val="24"/>
          <w:lang w:val="en-US" w:eastAsia="pt-PT"/>
        </w:rPr>
        <w:t>patient controlled</w:t>
      </w:r>
      <w:proofErr w:type="gramEnd"/>
      <w:r w:rsidRPr="00C92B4C">
        <w:rPr>
          <w:rFonts w:ascii="Times New Roman" w:eastAsiaTheme="minorEastAsia" w:hAnsi="Times New Roman" w:cs="Times New Roman"/>
          <w:sz w:val="24"/>
          <w:szCs w:val="24"/>
          <w:lang w:val="en-US" w:eastAsia="pt-PT"/>
        </w:rPr>
        <w:t xml:space="preserve"> analgesia, which are both reliant on opioid-based agents. An intraoperative placement of a peripheral nerve catheter (PNC) inside the nerve sheath at the time of nerve transection, followed by continuous infusion of local anesthetic, is effective at pain control and can potentially reduce opioid consumption.</w:t>
      </w:r>
    </w:p>
    <w:p w14:paraId="6BC5D75C" w14:textId="77777777" w:rsidR="00B21BD7" w:rsidRPr="00C92B4C" w:rsidRDefault="00B21BD7" w:rsidP="00B21BD7">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Case Report: A 55-year-old man with multiple comorbidities and a previous transtibial amputation, ASA III, was proposed for a surgical revision of the lower limb. The patient was under therapeutic dose of Low Molecular Weight Heparin. General anesthesia was induced with intravenous propofol (100mg), fentanyl (0.15 mg) and rocuronium (50 mg); laryngoscopy and tracheal intubation proceeded uneventfully, and anesthesia was maintained with sevoflurane in O2 titrated to BIS 40-60. Intraoperatively, a transfemoral amputation was decided. After it was performed, a peripheral nerve catheter was inserted under direct vision several centimeters above the level of transection of the exposed sciatic nerve, and advanced cephalad 5 cm. The catheter was then externalized and secured. The patency of the catheter was confirmed, and a 10-mL bolus of mepivacaine 1,5% was injected through the catheter after wound closure. The patient was extubated uneventfully. He remained painless and hemodynamically stable during time in Post Anesthetic Recovery Unit. Continuous infusion of Ropivacaine 0,2% with a 48 hours elastomeric infusion pump, with a flow rate of 5 ml/hour, was initiated before discharge from PACU. Postoperative analgesia included the protocol the patient was already undertaking, with paracetamol, gabapentin, tramadol and transdermic buprenorphine. The postoperative pain was assessed by Numeric Rating Scale (NRS) and was ranged 0-2 in the first day, and 0-4 in the second day after surgery. No rescue opioids were needed, and no side effects were reported. The patient reported satisfaction with the perioperative analgesia.</w:t>
      </w:r>
    </w:p>
    <w:p w14:paraId="1FE3E081" w14:textId="77777777" w:rsidR="00B21BD7" w:rsidRPr="00C92B4C" w:rsidRDefault="00B21BD7" w:rsidP="00B21BD7">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 xml:space="preserve">Discussion: Improving the management of postoperative pain in such a high-risk population would potentially reduce pain </w:t>
      </w:r>
      <w:proofErr w:type="spellStart"/>
      <w:r w:rsidRPr="00C92B4C">
        <w:rPr>
          <w:rFonts w:ascii="Times New Roman" w:eastAsiaTheme="minorEastAsia" w:hAnsi="Times New Roman" w:cs="Times New Roman"/>
          <w:sz w:val="24"/>
          <w:szCs w:val="24"/>
          <w:lang w:val="en-US" w:eastAsia="pt-PT"/>
        </w:rPr>
        <w:t>chronification</w:t>
      </w:r>
      <w:proofErr w:type="spellEnd"/>
      <w:r w:rsidRPr="00C92B4C">
        <w:rPr>
          <w:rFonts w:ascii="Times New Roman" w:eastAsiaTheme="minorEastAsia" w:hAnsi="Times New Roman" w:cs="Times New Roman"/>
          <w:sz w:val="24"/>
          <w:szCs w:val="24"/>
          <w:lang w:val="en-US" w:eastAsia="pt-PT"/>
        </w:rPr>
        <w:t>. Opioid use is associated with the development of postoperative side effects, which can contribute to increased rates of mortality, reduced functional ability, and longer lengths of hospital stay. Several studies have associated PNC use with a significant reduction in postoperative pain scores at rest and movement, opioid usage and its side effects, length of hospital stay, and patient satisfaction. It emerges as an analgesic alternative in patients undergoing anticoagulation therapy, who are submitted to an unknown level of limb amputation. Furthermore, it is a fast and simple technique to perform intraoperatively, and complications are rare.</w:t>
      </w:r>
    </w:p>
    <w:p w14:paraId="042886EA" w14:textId="77777777" w:rsidR="00B21BD7" w:rsidRPr="00C92B4C" w:rsidRDefault="00B21BD7" w:rsidP="00B21BD7">
      <w:pPr>
        <w:spacing w:after="0" w:line="240" w:lineRule="auto"/>
        <w:jc w:val="both"/>
        <w:rPr>
          <w:rFonts w:ascii="Times New Roman" w:eastAsiaTheme="minorEastAsia" w:hAnsi="Times New Roman" w:cs="Times New Roman"/>
          <w:sz w:val="24"/>
          <w:szCs w:val="24"/>
          <w:lang w:eastAsia="pt-PT"/>
        </w:rPr>
      </w:pPr>
      <w:proofErr w:type="spellStart"/>
      <w:r w:rsidRPr="00C92B4C">
        <w:rPr>
          <w:rFonts w:ascii="Times New Roman" w:eastAsiaTheme="minorEastAsia" w:hAnsi="Times New Roman" w:cs="Times New Roman"/>
          <w:sz w:val="24"/>
          <w:szCs w:val="24"/>
          <w:lang w:eastAsia="pt-PT"/>
        </w:rPr>
        <w:t>References</w:t>
      </w:r>
      <w:proofErr w:type="spellEnd"/>
      <w:r w:rsidRPr="00C92B4C">
        <w:rPr>
          <w:rFonts w:ascii="Times New Roman" w:eastAsiaTheme="minorEastAsia" w:hAnsi="Times New Roman" w:cs="Times New Roman"/>
          <w:sz w:val="24"/>
          <w:szCs w:val="24"/>
          <w:lang w:eastAsia="pt-PT"/>
        </w:rPr>
        <w:t xml:space="preserve">: </w:t>
      </w:r>
      <w:proofErr w:type="spellStart"/>
      <w:r w:rsidRPr="00C92B4C">
        <w:rPr>
          <w:rFonts w:ascii="Times New Roman" w:eastAsiaTheme="minorEastAsia" w:hAnsi="Times New Roman" w:cs="Times New Roman"/>
          <w:sz w:val="24"/>
          <w:szCs w:val="24"/>
          <w:lang w:eastAsia="pt-PT"/>
        </w:rPr>
        <w:t>Eur</w:t>
      </w:r>
      <w:proofErr w:type="spellEnd"/>
      <w:r w:rsidRPr="00C92B4C">
        <w:rPr>
          <w:rFonts w:ascii="Times New Roman" w:eastAsiaTheme="minorEastAsia" w:hAnsi="Times New Roman" w:cs="Times New Roman"/>
          <w:sz w:val="24"/>
          <w:szCs w:val="24"/>
          <w:lang w:eastAsia="pt-PT"/>
        </w:rPr>
        <w:t xml:space="preserve"> J </w:t>
      </w:r>
      <w:proofErr w:type="spellStart"/>
      <w:r w:rsidRPr="00C92B4C">
        <w:rPr>
          <w:rFonts w:ascii="Times New Roman" w:eastAsiaTheme="minorEastAsia" w:hAnsi="Times New Roman" w:cs="Times New Roman"/>
          <w:sz w:val="24"/>
          <w:szCs w:val="24"/>
          <w:lang w:eastAsia="pt-PT"/>
        </w:rPr>
        <w:t>Vasc</w:t>
      </w:r>
      <w:proofErr w:type="spellEnd"/>
      <w:r w:rsidRPr="00C92B4C">
        <w:rPr>
          <w:rFonts w:ascii="Times New Roman" w:eastAsiaTheme="minorEastAsia" w:hAnsi="Times New Roman" w:cs="Times New Roman"/>
          <w:sz w:val="24"/>
          <w:szCs w:val="24"/>
          <w:lang w:eastAsia="pt-PT"/>
        </w:rPr>
        <w:t xml:space="preserve"> </w:t>
      </w:r>
      <w:proofErr w:type="spellStart"/>
      <w:r w:rsidRPr="00C92B4C">
        <w:rPr>
          <w:rFonts w:ascii="Times New Roman" w:eastAsiaTheme="minorEastAsia" w:hAnsi="Times New Roman" w:cs="Times New Roman"/>
          <w:sz w:val="24"/>
          <w:szCs w:val="24"/>
          <w:lang w:eastAsia="pt-PT"/>
        </w:rPr>
        <w:t>Endovasc</w:t>
      </w:r>
      <w:proofErr w:type="spellEnd"/>
      <w:r w:rsidRPr="00C92B4C">
        <w:rPr>
          <w:rFonts w:ascii="Times New Roman" w:eastAsiaTheme="minorEastAsia" w:hAnsi="Times New Roman" w:cs="Times New Roman"/>
          <w:sz w:val="24"/>
          <w:szCs w:val="24"/>
          <w:lang w:eastAsia="pt-PT"/>
        </w:rPr>
        <w:t xml:space="preserve"> </w:t>
      </w:r>
      <w:proofErr w:type="spellStart"/>
      <w:r w:rsidRPr="00C92B4C">
        <w:rPr>
          <w:rFonts w:ascii="Times New Roman" w:eastAsiaTheme="minorEastAsia" w:hAnsi="Times New Roman" w:cs="Times New Roman"/>
          <w:sz w:val="24"/>
          <w:szCs w:val="24"/>
          <w:lang w:eastAsia="pt-PT"/>
        </w:rPr>
        <w:t>Surg</w:t>
      </w:r>
      <w:proofErr w:type="spellEnd"/>
      <w:r w:rsidRPr="00C92B4C">
        <w:rPr>
          <w:rFonts w:ascii="Times New Roman" w:eastAsiaTheme="minorEastAsia" w:hAnsi="Times New Roman" w:cs="Times New Roman"/>
          <w:sz w:val="24"/>
          <w:szCs w:val="24"/>
          <w:lang w:eastAsia="pt-PT"/>
        </w:rPr>
        <w:t xml:space="preserve"> (2015) 50, 241e249</w:t>
      </w:r>
    </w:p>
    <w:p w14:paraId="21CC6E84" w14:textId="77777777" w:rsidR="00B21BD7" w:rsidRPr="00C92B4C" w:rsidRDefault="00B21BD7" w:rsidP="00B21BD7">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noProof/>
          <w:sz w:val="24"/>
          <w:szCs w:val="24"/>
          <w:lang w:eastAsia="pt-PT"/>
        </w:rPr>
        <w:lastRenderedPageBreak/>
        <w:drawing>
          <wp:inline distT="0" distB="0" distL="0" distR="0" wp14:anchorId="3603BD47" wp14:editId="48811360">
            <wp:extent cx="5400040" cy="49796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00040" cy="4979670"/>
                    </a:xfrm>
                    <a:prstGeom prst="rect">
                      <a:avLst/>
                    </a:prstGeom>
                  </pic:spPr>
                </pic:pic>
              </a:graphicData>
            </a:graphic>
          </wp:inline>
        </w:drawing>
      </w:r>
    </w:p>
    <w:p w14:paraId="3AB87793" w14:textId="77777777" w:rsidR="00B21BD7" w:rsidRPr="00C92B4C" w:rsidRDefault="00B21BD7" w:rsidP="00B21BD7">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noProof/>
          <w:sz w:val="24"/>
          <w:szCs w:val="24"/>
          <w:lang w:eastAsia="pt-PT"/>
        </w:rPr>
        <w:lastRenderedPageBreak/>
        <w:drawing>
          <wp:inline distT="0" distB="0" distL="0" distR="0" wp14:anchorId="1AD127C3" wp14:editId="64EF2E2B">
            <wp:extent cx="5400040" cy="64668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040" cy="6466840"/>
                    </a:xfrm>
                    <a:prstGeom prst="rect">
                      <a:avLst/>
                    </a:prstGeom>
                  </pic:spPr>
                </pic:pic>
              </a:graphicData>
            </a:graphic>
          </wp:inline>
        </w:drawing>
      </w:r>
    </w:p>
    <w:p w14:paraId="51D01007" w14:textId="77777777" w:rsidR="00B21BD7" w:rsidRPr="00C92B4C" w:rsidRDefault="00B21BD7" w:rsidP="00B21BD7">
      <w:pPr>
        <w:spacing w:after="0" w:line="240" w:lineRule="auto"/>
        <w:jc w:val="both"/>
        <w:rPr>
          <w:rFonts w:ascii="Times New Roman" w:eastAsiaTheme="minorEastAsia" w:hAnsi="Times New Roman" w:cs="Times New Roman"/>
          <w:sz w:val="24"/>
          <w:szCs w:val="24"/>
          <w:lang w:eastAsia="pt-PT"/>
        </w:rPr>
      </w:pPr>
    </w:p>
    <w:p w14:paraId="2F751F65" w14:textId="77777777" w:rsidR="00237886" w:rsidRDefault="00B21BD7"/>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3B9"/>
    <w:rsid w:val="004173B9"/>
    <w:rsid w:val="00B21BD7"/>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80937-0050-47B5-B437-4D3DB9490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BD7"/>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21BD7"/>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517</Words>
  <Characters>2797</Characters>
  <Application>Microsoft Office Word</Application>
  <DocSecurity>0</DocSecurity>
  <Lines>23</Lines>
  <Paragraphs>6</Paragraphs>
  <ScaleCrop>false</ScaleCrop>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2021-04-19T09:45:00Z</dcterms:created>
  <dcterms:modified xsi:type="dcterms:W3CDTF">2021-04-19T09:46:00Z</dcterms:modified>
</cp:coreProperties>
</file>