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D04A9" w14:textId="77777777" w:rsidR="006E1462" w:rsidRDefault="006E1462" w:rsidP="006E1462">
      <w:pPr>
        <w:spacing w:after="0" w:line="240" w:lineRule="auto"/>
        <w:jc w:val="both"/>
        <w:rPr>
          <w:rFonts w:ascii="Times New Roman" w:eastAsiaTheme="minorEastAsia" w:hAnsi="Times New Roman" w:cs="Times New Roman"/>
          <w:sz w:val="24"/>
          <w:szCs w:val="24"/>
          <w:lang w:eastAsia="pt-PT"/>
        </w:rPr>
      </w:pPr>
      <w:r w:rsidRPr="00E27675">
        <w:rPr>
          <w:rFonts w:ascii="Times New Roman" w:eastAsiaTheme="minorEastAsia" w:hAnsi="Times New Roman" w:cs="Times New Roman"/>
          <w:b/>
          <w:bCs/>
          <w:sz w:val="24"/>
          <w:szCs w:val="24"/>
          <w:lang w:eastAsia="pt-PT"/>
        </w:rPr>
        <w:t>Título:</w:t>
      </w:r>
      <w:r w:rsidRPr="00E27675">
        <w:rPr>
          <w:rFonts w:ascii="Times New Roman" w:eastAsiaTheme="minorEastAsia" w:hAnsi="Times New Roman" w:cs="Times New Roman"/>
          <w:sz w:val="24"/>
          <w:szCs w:val="24"/>
          <w:lang w:eastAsia="pt-PT"/>
        </w:rPr>
        <w:t xml:space="preserve"> Anaphylaxis to Sugammadex: a case report</w:t>
      </w:r>
    </w:p>
    <w:p w14:paraId="7268A3C7" w14:textId="77777777" w:rsidR="006E1462" w:rsidRDefault="006E1462" w:rsidP="006E1462">
      <w:pPr>
        <w:pStyle w:val="NormalWeb"/>
      </w:pPr>
      <w:r>
        <w:rPr>
          <w:b/>
          <w:bCs/>
        </w:rPr>
        <w:t>Autores:</w:t>
      </w:r>
      <w:r>
        <w:t xml:space="preserve"> Ana Duarte, Rita Cerqueira, Inês Tomé, Maria de Lurdes Castro, José Silva Pinto</w:t>
      </w:r>
    </w:p>
    <w:p w14:paraId="33600813" w14:textId="77777777" w:rsidR="006E1462" w:rsidRPr="00A34026" w:rsidRDefault="006E1462" w:rsidP="006E1462">
      <w:pPr>
        <w:pStyle w:val="NormalWeb"/>
      </w:pPr>
      <w:r>
        <w:rPr>
          <w:b/>
          <w:bCs/>
        </w:rPr>
        <w:t>Instituições:</w:t>
      </w:r>
      <w:r>
        <w:t xml:space="preserve"> Centro Hospitalar Lisboa Central</w:t>
      </w:r>
    </w:p>
    <w:p w14:paraId="06228145" w14:textId="77777777" w:rsidR="006E1462" w:rsidRDefault="006E1462" w:rsidP="006E1462">
      <w:pPr>
        <w:spacing w:after="0" w:line="240" w:lineRule="auto"/>
        <w:jc w:val="both"/>
        <w:rPr>
          <w:rFonts w:ascii="Times New Roman" w:eastAsiaTheme="minorEastAsia" w:hAnsi="Times New Roman" w:cs="Times New Roman"/>
          <w:sz w:val="24"/>
          <w:szCs w:val="24"/>
          <w:lang w:eastAsia="pt-PT"/>
        </w:rPr>
      </w:pPr>
      <w:r w:rsidRPr="00E27675">
        <w:rPr>
          <w:rFonts w:ascii="Times New Roman" w:eastAsiaTheme="minorEastAsia" w:hAnsi="Times New Roman" w:cs="Times New Roman"/>
          <w:b/>
          <w:bCs/>
          <w:sz w:val="24"/>
          <w:szCs w:val="24"/>
          <w:lang w:eastAsia="pt-PT"/>
        </w:rPr>
        <w:t>Área Terapêutica/Tema:</w:t>
      </w:r>
      <w:r w:rsidRPr="00E27675">
        <w:rPr>
          <w:rFonts w:ascii="Times New Roman" w:eastAsiaTheme="minorEastAsia" w:hAnsi="Times New Roman" w:cs="Times New Roman"/>
          <w:sz w:val="24"/>
          <w:szCs w:val="24"/>
          <w:lang w:eastAsia="pt-PT"/>
        </w:rPr>
        <w:t xml:space="preserve"> Farmacologia (Pharmacology)</w:t>
      </w:r>
    </w:p>
    <w:p w14:paraId="74C5E8AA" w14:textId="77777777" w:rsidR="006E1462" w:rsidRPr="00E27675" w:rsidRDefault="006E1462" w:rsidP="006E1462">
      <w:pPr>
        <w:spacing w:after="0" w:line="240" w:lineRule="auto"/>
        <w:jc w:val="both"/>
        <w:rPr>
          <w:rFonts w:ascii="Times New Roman" w:eastAsiaTheme="minorEastAsia" w:hAnsi="Times New Roman" w:cs="Times New Roman"/>
          <w:sz w:val="24"/>
          <w:szCs w:val="24"/>
          <w:lang w:eastAsia="pt-PT"/>
        </w:rPr>
      </w:pPr>
    </w:p>
    <w:p w14:paraId="677BAF3A" w14:textId="77777777" w:rsidR="006E1462" w:rsidRPr="00A34026" w:rsidRDefault="006E1462" w:rsidP="006E1462">
      <w:pPr>
        <w:spacing w:after="0" w:line="240" w:lineRule="auto"/>
        <w:jc w:val="both"/>
        <w:rPr>
          <w:rFonts w:ascii="Times New Roman" w:eastAsiaTheme="minorEastAsia" w:hAnsi="Times New Roman" w:cs="Times New Roman"/>
          <w:sz w:val="24"/>
          <w:szCs w:val="24"/>
          <w:lang w:val="en-US" w:eastAsia="pt-PT"/>
        </w:rPr>
      </w:pPr>
      <w:r w:rsidRPr="00A34026">
        <w:rPr>
          <w:rFonts w:ascii="Times New Roman" w:eastAsiaTheme="minorEastAsia" w:hAnsi="Times New Roman" w:cs="Times New Roman"/>
          <w:sz w:val="24"/>
          <w:szCs w:val="24"/>
          <w:lang w:val="en-US" w:eastAsia="pt-PT"/>
        </w:rPr>
        <w:t>(TEM FOTO)</w:t>
      </w:r>
    </w:p>
    <w:p w14:paraId="0EFE2C73" w14:textId="77777777" w:rsidR="006E1462" w:rsidRPr="00E27675" w:rsidRDefault="006E1462" w:rsidP="006E1462">
      <w:pPr>
        <w:spacing w:after="0" w:line="240" w:lineRule="auto"/>
        <w:jc w:val="both"/>
        <w:rPr>
          <w:rFonts w:ascii="Times New Roman" w:eastAsia="Times New Roman" w:hAnsi="Times New Roman" w:cs="Times New Roman"/>
          <w:sz w:val="24"/>
          <w:szCs w:val="24"/>
          <w:lang w:val="en-US"/>
        </w:rPr>
      </w:pPr>
      <w:r w:rsidRPr="00E27675">
        <w:rPr>
          <w:rFonts w:ascii="Times New Roman" w:eastAsia="Times New Roman" w:hAnsi="Times New Roman" w:cs="Times New Roman"/>
          <w:b/>
          <w:bCs/>
          <w:sz w:val="24"/>
          <w:szCs w:val="24"/>
          <w:lang w:val="en-US"/>
        </w:rPr>
        <w:t>Resumo:</w:t>
      </w:r>
    </w:p>
    <w:p w14:paraId="47FBEC3A" w14:textId="77777777" w:rsidR="006E1462" w:rsidRPr="00E27675" w:rsidRDefault="006E1462" w:rsidP="006E1462">
      <w:pPr>
        <w:spacing w:after="0" w:line="240" w:lineRule="auto"/>
        <w:jc w:val="both"/>
        <w:rPr>
          <w:rFonts w:ascii="Times New Roman" w:eastAsiaTheme="minorEastAsia" w:hAnsi="Times New Roman" w:cs="Times New Roman"/>
          <w:sz w:val="24"/>
          <w:szCs w:val="24"/>
          <w:lang w:val="en-US" w:eastAsia="pt-PT"/>
        </w:rPr>
      </w:pPr>
      <w:r w:rsidRPr="00E27675">
        <w:rPr>
          <w:rFonts w:ascii="Times New Roman" w:eastAsiaTheme="minorEastAsia" w:hAnsi="Times New Roman" w:cs="Times New Roman"/>
          <w:sz w:val="24"/>
          <w:szCs w:val="24"/>
          <w:lang w:val="en-US" w:eastAsia="pt-PT"/>
        </w:rPr>
        <w:t>This case report restates the potential for development of hypersensitivity reactions following administration of sugammadex and bolsters awareness of its signs and symptoms, as well as the treatment algorithm for a possible anaphylactic reaction.</w:t>
      </w:r>
    </w:p>
    <w:p w14:paraId="26A24C9B" w14:textId="77777777" w:rsidR="006E1462" w:rsidRPr="00E27675" w:rsidRDefault="006E1462" w:rsidP="006E1462">
      <w:pPr>
        <w:spacing w:after="0" w:line="240" w:lineRule="auto"/>
        <w:jc w:val="both"/>
        <w:rPr>
          <w:rFonts w:ascii="Times New Roman" w:eastAsiaTheme="minorEastAsia" w:hAnsi="Times New Roman" w:cs="Times New Roman"/>
          <w:sz w:val="24"/>
          <w:szCs w:val="24"/>
          <w:lang w:val="en-US" w:eastAsia="pt-PT"/>
        </w:rPr>
      </w:pPr>
      <w:r w:rsidRPr="00E27675">
        <w:rPr>
          <w:rFonts w:ascii="Times New Roman" w:eastAsiaTheme="minorEastAsia" w:hAnsi="Times New Roman" w:cs="Times New Roman"/>
          <w:sz w:val="24"/>
          <w:szCs w:val="24"/>
          <w:lang w:val="en-US" w:eastAsia="pt-PT"/>
        </w:rPr>
        <w:t>A 27-year-old, 83kg male, ASA I, without history of allergies or surgical interventions, underwent posterior instrumentation and fixation of lumbar fracture.</w:t>
      </w:r>
    </w:p>
    <w:p w14:paraId="3B61A07D" w14:textId="77777777" w:rsidR="006E1462" w:rsidRPr="00E27675" w:rsidRDefault="006E1462" w:rsidP="006E1462">
      <w:pPr>
        <w:spacing w:after="0" w:line="240" w:lineRule="auto"/>
        <w:jc w:val="both"/>
        <w:rPr>
          <w:rFonts w:ascii="Times New Roman" w:eastAsiaTheme="minorEastAsia" w:hAnsi="Times New Roman" w:cs="Times New Roman"/>
          <w:sz w:val="24"/>
          <w:szCs w:val="24"/>
          <w:lang w:val="en-US" w:eastAsia="pt-PT"/>
        </w:rPr>
      </w:pPr>
      <w:r w:rsidRPr="00E27675">
        <w:rPr>
          <w:rFonts w:ascii="Times New Roman" w:eastAsiaTheme="minorEastAsia" w:hAnsi="Times New Roman" w:cs="Times New Roman"/>
          <w:sz w:val="24"/>
          <w:szCs w:val="24"/>
          <w:lang w:val="en-US" w:eastAsia="pt-PT"/>
        </w:rPr>
        <w:t>ASA standard monitoring, BIS and TOF were established. General anesthesia was induced (fentanyl 0.15mg, propofol 200mg and rocuronium 80mg). After intubation, anesthesia was maintained with 2% sevoflurane.</w:t>
      </w:r>
    </w:p>
    <w:p w14:paraId="2B56AE82" w14:textId="77777777" w:rsidR="006E1462" w:rsidRPr="00E27675" w:rsidRDefault="006E1462" w:rsidP="006E1462">
      <w:pPr>
        <w:spacing w:after="0" w:line="240" w:lineRule="auto"/>
        <w:jc w:val="both"/>
        <w:rPr>
          <w:rFonts w:ascii="Times New Roman" w:eastAsiaTheme="minorEastAsia" w:hAnsi="Times New Roman" w:cs="Times New Roman"/>
          <w:sz w:val="24"/>
          <w:szCs w:val="24"/>
          <w:lang w:val="en-US" w:eastAsia="pt-PT"/>
        </w:rPr>
      </w:pPr>
      <w:r w:rsidRPr="00E27675">
        <w:rPr>
          <w:rFonts w:ascii="Times New Roman" w:eastAsiaTheme="minorEastAsia" w:hAnsi="Times New Roman" w:cs="Times New Roman"/>
          <w:sz w:val="24"/>
          <w:szCs w:val="24"/>
          <w:lang w:val="en-US" w:eastAsia="pt-PT"/>
        </w:rPr>
        <w:t>At the end of surgery, sugammadex 200mg was administered and patient was extubated. 1,5 minutes after, sudden fall in HR from 69 to 39 bpm and hypotension 57/32 mmHg ensued. A generalized erythema and papules evidenced, over the patient’s face and trunk (fig.1). Crystalloid resuscitation began, adrenalin 0.5 mg IM, hydrocortisone 200mg IV, and clemastine 2mg IV were administered.</w:t>
      </w:r>
    </w:p>
    <w:p w14:paraId="37717590" w14:textId="77777777" w:rsidR="006E1462" w:rsidRPr="00E27675" w:rsidRDefault="006E1462" w:rsidP="006E1462">
      <w:pPr>
        <w:spacing w:after="0" w:line="240" w:lineRule="auto"/>
        <w:jc w:val="both"/>
        <w:rPr>
          <w:rFonts w:ascii="Times New Roman" w:eastAsiaTheme="minorEastAsia" w:hAnsi="Times New Roman" w:cs="Times New Roman"/>
          <w:sz w:val="24"/>
          <w:szCs w:val="24"/>
          <w:lang w:val="en-US" w:eastAsia="pt-PT"/>
        </w:rPr>
      </w:pPr>
      <w:r w:rsidRPr="00E27675">
        <w:rPr>
          <w:rFonts w:ascii="Times New Roman" w:eastAsiaTheme="minorEastAsia" w:hAnsi="Times New Roman" w:cs="Times New Roman"/>
          <w:sz w:val="24"/>
          <w:szCs w:val="24"/>
          <w:lang w:val="en-US" w:eastAsia="pt-PT"/>
        </w:rPr>
        <w:t>MAP improved, BP reaching 120/63 mmHg, HR 83 bpm and ECG was normal. The patient made a good recovery and was discharged a week later.</w:t>
      </w:r>
    </w:p>
    <w:p w14:paraId="16B7E1F8" w14:textId="77777777" w:rsidR="006E1462" w:rsidRPr="00E27675" w:rsidRDefault="006E1462" w:rsidP="006E1462">
      <w:pPr>
        <w:spacing w:after="0" w:line="240" w:lineRule="auto"/>
        <w:jc w:val="both"/>
        <w:rPr>
          <w:rFonts w:ascii="Times New Roman" w:eastAsiaTheme="minorEastAsia" w:hAnsi="Times New Roman" w:cs="Times New Roman"/>
          <w:sz w:val="24"/>
          <w:szCs w:val="24"/>
          <w:lang w:val="en-US" w:eastAsia="pt-PT"/>
        </w:rPr>
      </w:pPr>
      <w:r w:rsidRPr="00E27675">
        <w:rPr>
          <w:rFonts w:ascii="Times New Roman" w:eastAsiaTheme="minorEastAsia" w:hAnsi="Times New Roman" w:cs="Times New Roman"/>
          <w:sz w:val="24"/>
          <w:szCs w:val="24"/>
          <w:lang w:val="en-US" w:eastAsia="pt-PT"/>
        </w:rPr>
        <w:t>Adverse effects reported in association with sugammadex are rare. This patient satisfies the World Allergy Organization’s clinical criteria for the diagnosis of anaphylaxis.</w:t>
      </w:r>
    </w:p>
    <w:p w14:paraId="2764939A" w14:textId="77777777" w:rsidR="006E1462" w:rsidRPr="00E27675" w:rsidRDefault="006E1462" w:rsidP="006E1462">
      <w:pPr>
        <w:spacing w:after="0" w:line="240" w:lineRule="auto"/>
        <w:jc w:val="both"/>
        <w:rPr>
          <w:rFonts w:ascii="Times New Roman" w:eastAsiaTheme="minorEastAsia" w:hAnsi="Times New Roman" w:cs="Times New Roman"/>
          <w:sz w:val="24"/>
          <w:szCs w:val="24"/>
          <w:lang w:val="en-US" w:eastAsia="pt-PT"/>
        </w:rPr>
      </w:pPr>
      <w:r w:rsidRPr="00E27675">
        <w:rPr>
          <w:rFonts w:ascii="Times New Roman" w:eastAsiaTheme="minorEastAsia" w:hAnsi="Times New Roman" w:cs="Times New Roman"/>
          <w:sz w:val="24"/>
          <w:szCs w:val="24"/>
          <w:lang w:val="en-US" w:eastAsia="pt-PT"/>
        </w:rPr>
        <w:t>We were unable to perform any blood tests to the patient. The currently available tryptase assay has a low sensitivity. The patient refused the skin test requested. In this case, we assumed that the trigger was the sugammadex because no other medication had been given in the last 2h. The timing of symptoms and their relief following treatment support diagnosis.</w:t>
      </w:r>
    </w:p>
    <w:p w14:paraId="587F50BD" w14:textId="77777777" w:rsidR="006E1462" w:rsidRPr="00E27675" w:rsidRDefault="006E1462" w:rsidP="006E1462">
      <w:pPr>
        <w:spacing w:after="0" w:line="240" w:lineRule="auto"/>
        <w:jc w:val="both"/>
        <w:rPr>
          <w:rFonts w:ascii="Times New Roman" w:eastAsiaTheme="minorEastAsia" w:hAnsi="Times New Roman" w:cs="Times New Roman"/>
          <w:sz w:val="24"/>
          <w:szCs w:val="24"/>
          <w:lang w:val="en-US" w:eastAsia="pt-PT"/>
        </w:rPr>
      </w:pPr>
      <w:r w:rsidRPr="00E27675">
        <w:rPr>
          <w:rFonts w:ascii="Times New Roman" w:eastAsiaTheme="minorEastAsia" w:hAnsi="Times New Roman" w:cs="Times New Roman"/>
          <w:sz w:val="24"/>
          <w:szCs w:val="24"/>
          <w:lang w:val="en-US" w:eastAsia="pt-PT"/>
        </w:rPr>
        <w:t>The Japanese Society of Anesthesiologists has issued a warning about sugammadex induced anaphylactic shock1. In the UK, the 6th National Audit Project study found an incidence of 0.0016% of sugammadex anaphylaxis2.</w:t>
      </w:r>
    </w:p>
    <w:p w14:paraId="27493BAD" w14:textId="77777777" w:rsidR="006E1462" w:rsidRPr="00E27675" w:rsidRDefault="006E1462" w:rsidP="006E1462">
      <w:pPr>
        <w:spacing w:after="0" w:line="240" w:lineRule="auto"/>
        <w:jc w:val="both"/>
        <w:rPr>
          <w:rFonts w:ascii="Times New Roman" w:eastAsiaTheme="minorEastAsia" w:hAnsi="Times New Roman" w:cs="Times New Roman"/>
          <w:sz w:val="24"/>
          <w:szCs w:val="24"/>
          <w:lang w:val="en-US" w:eastAsia="pt-PT"/>
        </w:rPr>
      </w:pPr>
      <w:r w:rsidRPr="00E27675">
        <w:rPr>
          <w:rFonts w:ascii="Times New Roman" w:eastAsiaTheme="minorEastAsia" w:hAnsi="Times New Roman" w:cs="Times New Roman"/>
          <w:sz w:val="24"/>
          <w:szCs w:val="24"/>
          <w:lang w:val="en-US" w:eastAsia="pt-PT"/>
        </w:rPr>
        <w:t>Most of hypersensitivity reactions occur within 5 minutes of administration3. Therefore, increased vigilance is recommended during such critical timeframe.</w:t>
      </w:r>
    </w:p>
    <w:p w14:paraId="3F832D98" w14:textId="77777777" w:rsidR="006E1462" w:rsidRPr="00E27675" w:rsidRDefault="006E1462" w:rsidP="006E1462">
      <w:pPr>
        <w:spacing w:after="0" w:line="240" w:lineRule="auto"/>
        <w:jc w:val="both"/>
        <w:rPr>
          <w:rFonts w:ascii="Times New Roman" w:eastAsiaTheme="minorEastAsia" w:hAnsi="Times New Roman" w:cs="Times New Roman"/>
          <w:sz w:val="24"/>
          <w:szCs w:val="24"/>
          <w:lang w:val="en-US" w:eastAsia="pt-PT"/>
        </w:rPr>
      </w:pPr>
      <w:r w:rsidRPr="00E27675">
        <w:rPr>
          <w:rFonts w:ascii="Times New Roman" w:eastAsiaTheme="minorEastAsia" w:hAnsi="Times New Roman" w:cs="Times New Roman"/>
          <w:sz w:val="24"/>
          <w:szCs w:val="24"/>
          <w:lang w:val="en-US" w:eastAsia="pt-PT"/>
        </w:rPr>
        <w:t>Learning Points:</w:t>
      </w:r>
    </w:p>
    <w:p w14:paraId="26790094" w14:textId="77777777" w:rsidR="006E1462" w:rsidRPr="00E27675" w:rsidRDefault="006E1462" w:rsidP="006E1462">
      <w:pPr>
        <w:spacing w:after="0" w:line="240" w:lineRule="auto"/>
        <w:jc w:val="both"/>
        <w:rPr>
          <w:rFonts w:ascii="Times New Roman" w:eastAsiaTheme="minorEastAsia" w:hAnsi="Times New Roman" w:cs="Times New Roman"/>
          <w:sz w:val="24"/>
          <w:szCs w:val="24"/>
          <w:lang w:val="en-US" w:eastAsia="pt-PT"/>
        </w:rPr>
      </w:pPr>
      <w:r w:rsidRPr="00E27675">
        <w:rPr>
          <w:rFonts w:ascii="Times New Roman" w:eastAsiaTheme="minorEastAsia" w:hAnsi="Times New Roman" w:cs="Times New Roman"/>
          <w:sz w:val="24"/>
          <w:szCs w:val="24"/>
          <w:lang w:val="en-US" w:eastAsia="pt-PT"/>
        </w:rPr>
        <w:t>-Prompt assessment and management of anaphylaxis are critically important.</w:t>
      </w:r>
    </w:p>
    <w:p w14:paraId="0B17F7E0" w14:textId="77777777" w:rsidR="006E1462" w:rsidRPr="00E27675" w:rsidRDefault="006E1462" w:rsidP="006E1462">
      <w:pPr>
        <w:spacing w:after="0" w:line="240" w:lineRule="auto"/>
        <w:jc w:val="both"/>
        <w:rPr>
          <w:rFonts w:ascii="Times New Roman" w:eastAsiaTheme="minorEastAsia" w:hAnsi="Times New Roman" w:cs="Times New Roman"/>
          <w:sz w:val="24"/>
          <w:szCs w:val="24"/>
          <w:lang w:val="en-US" w:eastAsia="pt-PT"/>
        </w:rPr>
      </w:pPr>
      <w:r w:rsidRPr="00E27675">
        <w:rPr>
          <w:rFonts w:ascii="Times New Roman" w:eastAsiaTheme="minorEastAsia" w:hAnsi="Times New Roman" w:cs="Times New Roman"/>
          <w:sz w:val="24"/>
          <w:szCs w:val="24"/>
          <w:lang w:val="en-US" w:eastAsia="pt-PT"/>
        </w:rPr>
        <w:t>- There is potential for hypersensitivity reactions following the administration of sugammadex.</w:t>
      </w:r>
    </w:p>
    <w:p w14:paraId="318CF224" w14:textId="77777777" w:rsidR="006E1462" w:rsidRPr="00E27675" w:rsidRDefault="006E1462" w:rsidP="006E1462">
      <w:pPr>
        <w:spacing w:after="0" w:line="240" w:lineRule="auto"/>
        <w:jc w:val="both"/>
        <w:rPr>
          <w:rFonts w:ascii="Times New Roman" w:eastAsiaTheme="minorEastAsia" w:hAnsi="Times New Roman" w:cs="Times New Roman"/>
          <w:sz w:val="24"/>
          <w:szCs w:val="24"/>
          <w:lang w:val="en-US" w:eastAsia="pt-PT"/>
        </w:rPr>
      </w:pPr>
      <w:r w:rsidRPr="00E27675">
        <w:rPr>
          <w:rFonts w:ascii="Times New Roman" w:eastAsiaTheme="minorEastAsia" w:hAnsi="Times New Roman" w:cs="Times New Roman"/>
          <w:sz w:val="24"/>
          <w:szCs w:val="24"/>
          <w:lang w:val="en-US" w:eastAsia="pt-PT"/>
        </w:rPr>
        <w:t>- Awareness must be raised about drug-induced hypersensitivity during the critical 5-min period.</w:t>
      </w:r>
    </w:p>
    <w:p w14:paraId="0732178A" w14:textId="77777777" w:rsidR="006E1462" w:rsidRPr="00E27675" w:rsidRDefault="006E1462" w:rsidP="006E1462">
      <w:pPr>
        <w:spacing w:after="0" w:line="240" w:lineRule="auto"/>
        <w:jc w:val="both"/>
        <w:rPr>
          <w:rFonts w:ascii="Times New Roman" w:eastAsiaTheme="minorEastAsia" w:hAnsi="Times New Roman" w:cs="Times New Roman"/>
          <w:sz w:val="24"/>
          <w:szCs w:val="24"/>
          <w:lang w:val="en-US" w:eastAsia="pt-PT"/>
        </w:rPr>
      </w:pPr>
      <w:r w:rsidRPr="00E27675">
        <w:rPr>
          <w:rFonts w:ascii="Times New Roman" w:eastAsiaTheme="minorEastAsia" w:hAnsi="Times New Roman" w:cs="Times New Roman"/>
          <w:sz w:val="24"/>
          <w:szCs w:val="24"/>
          <w:lang w:val="en-US" w:eastAsia="pt-PT"/>
        </w:rPr>
        <w:t>REFERENCES</w:t>
      </w:r>
    </w:p>
    <w:p w14:paraId="27BDAF0C" w14:textId="77777777" w:rsidR="006E1462" w:rsidRPr="00E27675" w:rsidRDefault="006E1462" w:rsidP="006E1462">
      <w:pPr>
        <w:spacing w:after="0" w:line="240" w:lineRule="auto"/>
        <w:jc w:val="both"/>
        <w:rPr>
          <w:rFonts w:ascii="Times New Roman" w:eastAsiaTheme="minorEastAsia" w:hAnsi="Times New Roman" w:cs="Times New Roman"/>
          <w:sz w:val="24"/>
          <w:szCs w:val="24"/>
          <w:lang w:val="en-US" w:eastAsia="pt-PT"/>
        </w:rPr>
      </w:pPr>
      <w:r w:rsidRPr="00E27675">
        <w:rPr>
          <w:rFonts w:ascii="Times New Roman" w:eastAsiaTheme="minorEastAsia" w:hAnsi="Times New Roman" w:cs="Times New Roman"/>
          <w:sz w:val="24"/>
          <w:szCs w:val="24"/>
          <w:lang w:val="en-US" w:eastAsia="pt-PT"/>
        </w:rPr>
        <w:t>1- BMC Anesthesiol. 2014, 14,92</w:t>
      </w:r>
    </w:p>
    <w:p w14:paraId="32F135C1" w14:textId="77777777" w:rsidR="006E1462" w:rsidRPr="00E27675" w:rsidRDefault="006E1462" w:rsidP="006E1462">
      <w:pPr>
        <w:spacing w:after="0" w:line="240" w:lineRule="auto"/>
        <w:jc w:val="both"/>
        <w:rPr>
          <w:rFonts w:ascii="Times New Roman" w:eastAsiaTheme="minorEastAsia" w:hAnsi="Times New Roman" w:cs="Times New Roman"/>
          <w:sz w:val="24"/>
          <w:szCs w:val="24"/>
          <w:lang w:val="en-US" w:eastAsia="pt-PT"/>
        </w:rPr>
      </w:pPr>
      <w:r w:rsidRPr="00E27675">
        <w:rPr>
          <w:rFonts w:ascii="Times New Roman" w:eastAsiaTheme="minorEastAsia" w:hAnsi="Times New Roman" w:cs="Times New Roman"/>
          <w:sz w:val="24"/>
          <w:szCs w:val="24"/>
          <w:lang w:val="en-US" w:eastAsia="pt-PT"/>
        </w:rPr>
        <w:t xml:space="preserve">2 - Br J Anaesth. 2020 Jan </w:t>
      </w:r>
      <w:proofErr w:type="gramStart"/>
      <w:r w:rsidRPr="00E27675">
        <w:rPr>
          <w:rFonts w:ascii="Times New Roman" w:eastAsiaTheme="minorEastAsia" w:hAnsi="Times New Roman" w:cs="Times New Roman"/>
          <w:sz w:val="24"/>
          <w:szCs w:val="24"/>
          <w:lang w:val="en-US" w:eastAsia="pt-PT"/>
        </w:rPr>
        <w:t>22:S</w:t>
      </w:r>
      <w:proofErr w:type="gramEnd"/>
      <w:r w:rsidRPr="00E27675">
        <w:rPr>
          <w:rFonts w:ascii="Times New Roman" w:eastAsiaTheme="minorEastAsia" w:hAnsi="Times New Roman" w:cs="Times New Roman"/>
          <w:sz w:val="24"/>
          <w:szCs w:val="24"/>
          <w:lang w:val="en-US" w:eastAsia="pt-PT"/>
        </w:rPr>
        <w:t>0007-0912(20)30008-8</w:t>
      </w:r>
    </w:p>
    <w:p w14:paraId="6AA7F125" w14:textId="77777777" w:rsidR="006E1462" w:rsidRPr="00E27675" w:rsidRDefault="006E1462" w:rsidP="006E1462">
      <w:pPr>
        <w:spacing w:after="0" w:line="240" w:lineRule="auto"/>
        <w:jc w:val="both"/>
        <w:rPr>
          <w:rFonts w:ascii="Times New Roman" w:eastAsiaTheme="minorEastAsia" w:hAnsi="Times New Roman" w:cs="Times New Roman"/>
          <w:sz w:val="24"/>
          <w:szCs w:val="24"/>
          <w:lang w:eastAsia="pt-PT"/>
        </w:rPr>
      </w:pPr>
      <w:r w:rsidRPr="00E27675">
        <w:rPr>
          <w:rFonts w:ascii="Times New Roman" w:eastAsiaTheme="minorEastAsia" w:hAnsi="Times New Roman" w:cs="Times New Roman"/>
          <w:sz w:val="24"/>
          <w:szCs w:val="24"/>
          <w:lang w:val="en-US" w:eastAsia="pt-PT"/>
        </w:rPr>
        <w:t xml:space="preserve">3 - Hypersensitivity associated with sugammadex: a systematic review. </w:t>
      </w:r>
      <w:r w:rsidRPr="00E27675">
        <w:rPr>
          <w:rFonts w:ascii="Times New Roman" w:eastAsiaTheme="minorEastAsia" w:hAnsi="Times New Roman" w:cs="Times New Roman"/>
          <w:sz w:val="24"/>
          <w:szCs w:val="24"/>
          <w:lang w:eastAsia="pt-PT"/>
        </w:rPr>
        <w:t>2014, Anaesthesia,69: 1251-1257</w:t>
      </w:r>
    </w:p>
    <w:p w14:paraId="3B4E8470" w14:textId="47DB15F2" w:rsidR="00237886" w:rsidRDefault="006E1462" w:rsidP="006E1462">
      <w:r w:rsidRPr="00E27675">
        <w:rPr>
          <w:rFonts w:ascii="Times New Roman" w:eastAsiaTheme="minorEastAsia" w:hAnsi="Times New Roman" w:cs="Times New Roman"/>
          <w:sz w:val="24"/>
          <w:szCs w:val="24"/>
          <w:lang w:eastAsia="pt-PT"/>
        </w:rPr>
        <w:lastRenderedPageBreak/>
        <w:t>__</w:t>
      </w:r>
      <w:r w:rsidRPr="00E27675">
        <w:rPr>
          <w:rFonts w:ascii="Times New Roman" w:eastAsiaTheme="minorEastAsia" w:hAnsi="Times New Roman" w:cs="Times New Roman"/>
          <w:noProof/>
          <w:sz w:val="24"/>
          <w:szCs w:val="24"/>
          <w:lang w:eastAsia="pt-PT"/>
        </w:rPr>
        <w:drawing>
          <wp:inline distT="0" distB="0" distL="0" distR="0" wp14:anchorId="3AE5C845" wp14:editId="1C40D35D">
            <wp:extent cx="5961348" cy="18976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1 Anaphylaxis to Sugammadex a case report.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89939" cy="1906722"/>
                    </a:xfrm>
                    <a:prstGeom prst="rect">
                      <a:avLst/>
                    </a:prstGeom>
                  </pic:spPr>
                </pic:pic>
              </a:graphicData>
            </a:graphic>
          </wp:inline>
        </w:drawing>
      </w:r>
      <w:r w:rsidRPr="00E27675">
        <w:rPr>
          <w:rFonts w:ascii="Times New Roman" w:eastAsiaTheme="minorEastAsia" w:hAnsi="Times New Roman" w:cs="Times New Roman"/>
          <w:sz w:val="24"/>
          <w:szCs w:val="24"/>
          <w:lang w:eastAsia="pt-PT"/>
        </w:rPr>
        <w:t>________________________________________________________</w:t>
      </w:r>
    </w:p>
    <w:sectPr w:rsidR="0023788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C38"/>
    <w:rsid w:val="003A5C38"/>
    <w:rsid w:val="006E1462"/>
    <w:rsid w:val="00C07CB2"/>
    <w:rsid w:val="00F8138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9BD0F7-7AF7-4B77-9706-200554FBD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462"/>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6E1462"/>
    <w:pPr>
      <w:spacing w:before="100" w:beforeAutospacing="1" w:after="100" w:afterAutospacing="1" w:line="240" w:lineRule="auto"/>
    </w:pPr>
    <w:rPr>
      <w:rFonts w:ascii="Times New Roman" w:eastAsia="Times New Roman" w:hAnsi="Times New Roman" w:cs="Times New Roman"/>
      <w:sz w:val="24"/>
      <w:szCs w:val="24"/>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443</Words>
  <Characters>2394</Characters>
  <Application>Microsoft Office Word</Application>
  <DocSecurity>0</DocSecurity>
  <Lines>19</Lines>
  <Paragraphs>5</Paragraphs>
  <ScaleCrop>false</ScaleCrop>
  <Company/>
  <LinksUpToDate>false</LinksUpToDate>
  <CharactersWithSpaces>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Admedic</dc:creator>
  <cp:keywords/>
  <dc:description/>
  <cp:lastModifiedBy>Admedic</cp:lastModifiedBy>
  <cp:revision>2</cp:revision>
  <dcterms:created xsi:type="dcterms:W3CDTF">2021-04-19T09:58:00Z</dcterms:created>
  <dcterms:modified xsi:type="dcterms:W3CDTF">2021-04-19T09:58:00Z</dcterms:modified>
</cp:coreProperties>
</file>