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4AC42" w14:textId="180BB728" w:rsidR="006E56C3" w:rsidRDefault="006E56C3" w:rsidP="00D4103C">
      <w:pPr>
        <w:pStyle w:val="NormalWeb"/>
        <w:rPr>
          <w:b/>
          <w:bCs/>
        </w:rPr>
      </w:pPr>
      <w:r w:rsidRPr="006E56C3">
        <w:rPr>
          <w:rFonts w:eastAsiaTheme="minorEastAsia"/>
          <w:b/>
          <w:bCs/>
        </w:rPr>
        <w:t>Título:</w:t>
      </w:r>
      <w:r>
        <w:rPr>
          <w:rFonts w:eastAsiaTheme="minorEastAsia"/>
        </w:rPr>
        <w:t xml:space="preserve"> </w:t>
      </w:r>
      <w:r w:rsidRPr="00565C4C">
        <w:rPr>
          <w:rFonts w:eastAsiaTheme="minorEastAsia"/>
        </w:rPr>
        <w:t>Impacto da pandemia Sars-CoV-2 numa Unidade de Dor Aguda</w:t>
      </w:r>
    </w:p>
    <w:p w14:paraId="78F40F6E" w14:textId="14B32A91" w:rsidR="00D4103C" w:rsidRDefault="00D4103C" w:rsidP="00D4103C">
      <w:pPr>
        <w:pStyle w:val="NormalWeb"/>
      </w:pPr>
      <w:r>
        <w:rPr>
          <w:b/>
          <w:bCs/>
        </w:rPr>
        <w:t>Autores:</w:t>
      </w:r>
      <w:r>
        <w:t xml:space="preserve"> Ana Filipa Albuquerque Correia Piedade Costa Gomes Mariana Vaz Ana Luísa Vieira Margarida Cruz Daniela Cruz</w:t>
      </w:r>
    </w:p>
    <w:p w14:paraId="4600F6CE" w14:textId="77777777" w:rsidR="00D4103C" w:rsidRDefault="00D4103C" w:rsidP="00D4103C">
      <w:pPr>
        <w:pStyle w:val="NormalWeb"/>
      </w:pPr>
      <w:r>
        <w:rPr>
          <w:b/>
          <w:bCs/>
        </w:rPr>
        <w:t>Instituições:</w:t>
      </w:r>
      <w:r>
        <w:t xml:space="preserve"> Centro Hospitalar Universitário de Coimbra</w:t>
      </w:r>
    </w:p>
    <w:p w14:paraId="2E0922D1" w14:textId="77777777" w:rsidR="00D4103C" w:rsidRDefault="00D4103C" w:rsidP="00D4103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565C4C">
        <w:rPr>
          <w:rFonts w:ascii="Times New Roman" w:eastAsiaTheme="minorEastAsia" w:hAnsi="Times New Roman" w:cs="Times New Roman"/>
          <w:b/>
          <w:bCs/>
          <w:sz w:val="24"/>
          <w:szCs w:val="24"/>
          <w:lang w:eastAsia="pt-PT"/>
        </w:rPr>
        <w:t>Área Terapêutica/Tema:</w:t>
      </w:r>
      <w:r w:rsidRPr="00565C4C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Manejo da Dor aguda e Crónica (</w:t>
      </w:r>
      <w:proofErr w:type="spellStart"/>
      <w:r w:rsidRPr="00565C4C">
        <w:rPr>
          <w:rFonts w:ascii="Times New Roman" w:eastAsiaTheme="minorEastAsia" w:hAnsi="Times New Roman" w:cs="Times New Roman"/>
          <w:sz w:val="24"/>
          <w:szCs w:val="24"/>
          <w:lang w:eastAsia="pt-PT"/>
        </w:rPr>
        <w:t>Acute</w:t>
      </w:r>
      <w:proofErr w:type="spellEnd"/>
      <w:r w:rsidRPr="00565C4C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</w:t>
      </w:r>
      <w:proofErr w:type="spellStart"/>
      <w:r w:rsidRPr="00565C4C">
        <w:rPr>
          <w:rFonts w:ascii="Times New Roman" w:eastAsiaTheme="minorEastAsia" w:hAnsi="Times New Roman" w:cs="Times New Roman"/>
          <w:sz w:val="24"/>
          <w:szCs w:val="24"/>
          <w:lang w:eastAsia="pt-PT"/>
        </w:rPr>
        <w:t>and</w:t>
      </w:r>
      <w:proofErr w:type="spellEnd"/>
      <w:r w:rsidRPr="00565C4C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</w:t>
      </w:r>
      <w:proofErr w:type="spellStart"/>
      <w:r w:rsidRPr="00565C4C">
        <w:rPr>
          <w:rFonts w:ascii="Times New Roman" w:eastAsiaTheme="minorEastAsia" w:hAnsi="Times New Roman" w:cs="Times New Roman"/>
          <w:sz w:val="24"/>
          <w:szCs w:val="24"/>
          <w:lang w:eastAsia="pt-PT"/>
        </w:rPr>
        <w:t>Chronic</w:t>
      </w:r>
      <w:proofErr w:type="spellEnd"/>
      <w:r w:rsidRPr="00565C4C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</w:t>
      </w:r>
      <w:proofErr w:type="spellStart"/>
      <w:r w:rsidRPr="00565C4C">
        <w:rPr>
          <w:rFonts w:ascii="Times New Roman" w:eastAsiaTheme="minorEastAsia" w:hAnsi="Times New Roman" w:cs="Times New Roman"/>
          <w:sz w:val="24"/>
          <w:szCs w:val="24"/>
          <w:lang w:eastAsia="pt-PT"/>
        </w:rPr>
        <w:t>Pain</w:t>
      </w:r>
      <w:proofErr w:type="spellEnd"/>
      <w:r w:rsidRPr="00565C4C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Management)</w:t>
      </w:r>
    </w:p>
    <w:p w14:paraId="2F896792" w14:textId="77777777" w:rsidR="00D4103C" w:rsidRPr="00EB7E7A" w:rsidRDefault="00D4103C" w:rsidP="00D4103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</w:p>
    <w:p w14:paraId="455715FE" w14:textId="77777777" w:rsidR="00D4103C" w:rsidRPr="00EC54F1" w:rsidRDefault="00D4103C" w:rsidP="00D410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54F1">
        <w:rPr>
          <w:rFonts w:ascii="Times New Roman" w:eastAsia="Times New Roman" w:hAnsi="Times New Roman" w:cs="Times New Roman"/>
          <w:b/>
          <w:bCs/>
          <w:sz w:val="24"/>
          <w:szCs w:val="24"/>
        </w:rPr>
        <w:t>Resumo:</w:t>
      </w:r>
    </w:p>
    <w:p w14:paraId="38F395D4" w14:textId="77777777" w:rsidR="00D4103C" w:rsidRPr="00565C4C" w:rsidRDefault="00D4103C" w:rsidP="00D4103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565C4C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INTRODUÇÃO: Durante a pandemia Sars-CoV-2, os cuidados de saúde, com o objetivo de limitar a propagação do vírus, diminuíram o número de cirurgias/procedimentos eletivos, consultas não urgentes e visitas </w:t>
      </w:r>
      <w:proofErr w:type="gramStart"/>
      <w:r w:rsidRPr="00565C4C">
        <w:rPr>
          <w:rFonts w:ascii="Times New Roman" w:eastAsiaTheme="minorEastAsia" w:hAnsi="Times New Roman" w:cs="Times New Roman"/>
          <w:sz w:val="24"/>
          <w:szCs w:val="24"/>
          <w:lang w:eastAsia="pt-PT"/>
        </w:rPr>
        <w:t>hospitalares[</w:t>
      </w:r>
      <w:proofErr w:type="gramEnd"/>
      <w:r w:rsidRPr="00565C4C">
        <w:rPr>
          <w:rFonts w:ascii="Times New Roman" w:eastAsiaTheme="minorEastAsia" w:hAnsi="Times New Roman" w:cs="Times New Roman"/>
          <w:sz w:val="24"/>
          <w:szCs w:val="24"/>
          <w:lang w:eastAsia="pt-PT"/>
        </w:rPr>
        <w:t>1,2].</w:t>
      </w:r>
    </w:p>
    <w:p w14:paraId="73C7B6B6" w14:textId="77777777" w:rsidR="00D4103C" w:rsidRPr="00565C4C" w:rsidRDefault="00D4103C" w:rsidP="00D4103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565C4C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Neste contexto, o objetivo deste estudo foi avaliar o impacto da pandemia no tratamento e abordagem da dor numa Unidade de Dor Aguda (UDA). Foram analisados os anos de 2019 e 2020 relativamente ao número de doentes referenciados à UDA; número de consultas internas no 1º dia pós-operatório; tempo de referenciação; tipo de admissão hospitalar; tipo de analgesia; estado físico de acordo com a </w:t>
      </w:r>
      <w:proofErr w:type="spellStart"/>
      <w:r w:rsidRPr="00565C4C">
        <w:rPr>
          <w:rFonts w:ascii="Times New Roman" w:eastAsiaTheme="minorEastAsia" w:hAnsi="Times New Roman" w:cs="Times New Roman"/>
          <w:sz w:val="24"/>
          <w:szCs w:val="24"/>
          <w:lang w:eastAsia="pt-PT"/>
        </w:rPr>
        <w:t>American</w:t>
      </w:r>
      <w:proofErr w:type="spellEnd"/>
      <w:r w:rsidRPr="00565C4C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</w:t>
      </w:r>
      <w:proofErr w:type="spellStart"/>
      <w:r w:rsidRPr="00565C4C">
        <w:rPr>
          <w:rFonts w:ascii="Times New Roman" w:eastAsiaTheme="minorEastAsia" w:hAnsi="Times New Roman" w:cs="Times New Roman"/>
          <w:sz w:val="24"/>
          <w:szCs w:val="24"/>
          <w:lang w:eastAsia="pt-PT"/>
        </w:rPr>
        <w:t>Society</w:t>
      </w:r>
      <w:proofErr w:type="spellEnd"/>
      <w:r w:rsidRPr="00565C4C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</w:t>
      </w:r>
      <w:proofErr w:type="spellStart"/>
      <w:r w:rsidRPr="00565C4C">
        <w:rPr>
          <w:rFonts w:ascii="Times New Roman" w:eastAsiaTheme="minorEastAsia" w:hAnsi="Times New Roman" w:cs="Times New Roman"/>
          <w:sz w:val="24"/>
          <w:szCs w:val="24"/>
          <w:lang w:eastAsia="pt-PT"/>
        </w:rPr>
        <w:t>of</w:t>
      </w:r>
      <w:proofErr w:type="spellEnd"/>
      <w:r w:rsidRPr="00565C4C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</w:t>
      </w:r>
      <w:proofErr w:type="spellStart"/>
      <w:r w:rsidRPr="00565C4C">
        <w:rPr>
          <w:rFonts w:ascii="Times New Roman" w:eastAsiaTheme="minorEastAsia" w:hAnsi="Times New Roman" w:cs="Times New Roman"/>
          <w:sz w:val="24"/>
          <w:szCs w:val="24"/>
          <w:lang w:eastAsia="pt-PT"/>
        </w:rPr>
        <w:t>Anesthesiologists</w:t>
      </w:r>
      <w:proofErr w:type="spellEnd"/>
      <w:r w:rsidRPr="00565C4C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(ASA); registo de efeitos adversos e monitorização da eficácia no controlo da dor.</w:t>
      </w:r>
    </w:p>
    <w:p w14:paraId="4FB95602" w14:textId="77777777" w:rsidR="00D4103C" w:rsidRPr="00565C4C" w:rsidRDefault="00D4103C" w:rsidP="00D4103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565C4C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METODOLOGIA: Estudo observacional descritivo e retrospetivo com análise de dados relativos a uma amostra de 1981 doentes admitidos na UDA, entre 1 de </w:t>
      </w:r>
      <w:proofErr w:type="gramStart"/>
      <w:r w:rsidRPr="00565C4C">
        <w:rPr>
          <w:rFonts w:ascii="Times New Roman" w:eastAsiaTheme="minorEastAsia" w:hAnsi="Times New Roman" w:cs="Times New Roman"/>
          <w:sz w:val="24"/>
          <w:szCs w:val="24"/>
          <w:lang w:eastAsia="pt-PT"/>
        </w:rPr>
        <w:t>Janeiro</w:t>
      </w:r>
      <w:proofErr w:type="gramEnd"/>
      <w:r w:rsidRPr="00565C4C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de 2019 e 31 de Dezembro de 2020. A amostra foi recolhida na base de dados da UDA, dividida segundo o ano de admissão e foram analisadas associações de variáveis recorrendo à ferramenta SPSS (versão 24).</w:t>
      </w:r>
    </w:p>
    <w:p w14:paraId="1425682A" w14:textId="77777777" w:rsidR="00D4103C" w:rsidRPr="00565C4C" w:rsidRDefault="00D4103C" w:rsidP="00D4103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565C4C">
        <w:rPr>
          <w:rFonts w:ascii="Times New Roman" w:eastAsiaTheme="minorEastAsia" w:hAnsi="Times New Roman" w:cs="Times New Roman"/>
          <w:sz w:val="24"/>
          <w:szCs w:val="24"/>
          <w:lang w:eastAsia="pt-PT"/>
        </w:rPr>
        <w:t>RESULTADOS: O número total de doentes referenciados à UDA teve uma diminuição de 30% em 2020 (808 admissões) relativamente a 2019 (1173 admissões). Verificou-se uma diferença estatisticamente significativa na duração de referenciação entre 2019 (mediana 2 dias) e 2020 (mediana 3 dias) (p&lt;,001). Em 2020 foram admitidos doentes com classificações ASA superiores às de 2019: 39% apresentavam uma classificação ASA&gt;II em 2019 vs. 49% em 2020 (p&lt;,001). No respeitante às consultas internas, em 2020 foram feitas menos visitas no 1º dia pós-operatório que em 2019 (81% vs.86%; p&lt;,001).</w:t>
      </w:r>
    </w:p>
    <w:p w14:paraId="7A19DA23" w14:textId="77777777" w:rsidR="00D4103C" w:rsidRPr="00565C4C" w:rsidRDefault="00D4103C" w:rsidP="00D4103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565C4C">
        <w:rPr>
          <w:rFonts w:ascii="Times New Roman" w:eastAsiaTheme="minorEastAsia" w:hAnsi="Times New Roman" w:cs="Times New Roman"/>
          <w:sz w:val="24"/>
          <w:szCs w:val="24"/>
          <w:lang w:eastAsia="pt-PT"/>
        </w:rPr>
        <w:t>Na monitorização da eficácia no controlo da dor, utilizando a Escala Visual Analógica (EVA), verificou-se uma diferença estatisticamente significativa (p&lt;,001) do número de registos entre estes dois anos, com uma diminuição de 7% no ano de 2020, em comparação com 2019.</w:t>
      </w:r>
    </w:p>
    <w:p w14:paraId="4CD26A79" w14:textId="77777777" w:rsidR="00D4103C" w:rsidRPr="00565C4C" w:rsidRDefault="00D4103C" w:rsidP="00D4103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565C4C">
        <w:rPr>
          <w:rFonts w:ascii="Times New Roman" w:eastAsiaTheme="minorEastAsia" w:hAnsi="Times New Roman" w:cs="Times New Roman"/>
          <w:sz w:val="24"/>
          <w:szCs w:val="24"/>
          <w:lang w:eastAsia="pt-PT"/>
        </w:rPr>
        <w:t>Não se verificou diferença estatisticamente significativa no tipo de admissão hospitalar, distribuição por especialidades, tipo de analgesia administrada, ou registo de eventos adversos.</w:t>
      </w:r>
    </w:p>
    <w:p w14:paraId="3F4B843E" w14:textId="77777777" w:rsidR="00D4103C" w:rsidRPr="00565C4C" w:rsidRDefault="00D4103C" w:rsidP="00D4103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565C4C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DISCUSSÃO E CONCLUSÃO: Tendo em conta os resultados obtidos, identifica-se após o início da pandemia, uma maior duração de tempo de referenciação dos doentes; admissão de doentes com </w:t>
      </w:r>
      <w:proofErr w:type="spellStart"/>
      <w:r w:rsidRPr="00565C4C">
        <w:rPr>
          <w:rFonts w:ascii="Times New Roman" w:eastAsiaTheme="minorEastAsia" w:hAnsi="Times New Roman" w:cs="Times New Roman"/>
          <w:sz w:val="24"/>
          <w:szCs w:val="24"/>
          <w:lang w:eastAsia="pt-PT"/>
        </w:rPr>
        <w:t>comorbilidades</w:t>
      </w:r>
      <w:proofErr w:type="spellEnd"/>
      <w:r w:rsidRPr="00565C4C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mais graves e menor acompanhamento no pós-operatório imediato. O maior grau de </w:t>
      </w:r>
      <w:proofErr w:type="spellStart"/>
      <w:r w:rsidRPr="00565C4C">
        <w:rPr>
          <w:rFonts w:ascii="Times New Roman" w:eastAsiaTheme="minorEastAsia" w:hAnsi="Times New Roman" w:cs="Times New Roman"/>
          <w:sz w:val="24"/>
          <w:szCs w:val="24"/>
          <w:lang w:eastAsia="pt-PT"/>
        </w:rPr>
        <w:t>comorbilidades</w:t>
      </w:r>
      <w:proofErr w:type="spellEnd"/>
      <w:r w:rsidRPr="00565C4C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e maior tempo de referenciação em 2020, foi provável consequência da prioridade dada a doentes de maior gravidade clínica devida ao cancelamento de cirurgias eletivas, tendo também o seu acompanhamento sido prejudicado pela realocação de recursos e redução de serviços.</w:t>
      </w:r>
    </w:p>
    <w:p w14:paraId="4F1D01A9" w14:textId="77777777" w:rsidR="00D4103C" w:rsidRPr="00565C4C" w:rsidRDefault="00D4103C" w:rsidP="00D4103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565C4C">
        <w:rPr>
          <w:rFonts w:ascii="Times New Roman" w:eastAsiaTheme="minorEastAsia" w:hAnsi="Times New Roman" w:cs="Times New Roman"/>
          <w:sz w:val="24"/>
          <w:szCs w:val="24"/>
          <w:lang w:eastAsia="pt-PT"/>
        </w:rPr>
        <w:lastRenderedPageBreak/>
        <w:t>Assim, pode concluir-se que com a pandemia Sars-CoV-2, o acompanhamento dos doentes no âmbito da dor aguda foi comprometido, sendo essencial considerar novas estratégias que permitam otimizar os recursos disponíveis.</w:t>
      </w:r>
    </w:p>
    <w:p w14:paraId="26D580A5" w14:textId="77777777" w:rsidR="00D4103C" w:rsidRPr="00565C4C" w:rsidRDefault="00D4103C" w:rsidP="00D4103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pt-PT"/>
        </w:rPr>
      </w:pPr>
      <w:r w:rsidRPr="00565C4C">
        <w:rPr>
          <w:rFonts w:ascii="Times New Roman" w:eastAsiaTheme="minorEastAsia" w:hAnsi="Times New Roman" w:cs="Times New Roman"/>
          <w:sz w:val="24"/>
          <w:szCs w:val="24"/>
          <w:lang w:val="en-US" w:eastAsia="pt-PT"/>
        </w:rPr>
        <w:t>REFERÊNCIAS:</w:t>
      </w:r>
    </w:p>
    <w:p w14:paraId="67B50205" w14:textId="77777777" w:rsidR="00D4103C" w:rsidRPr="00565C4C" w:rsidRDefault="00D4103C" w:rsidP="00D4103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pt-PT"/>
        </w:rPr>
      </w:pPr>
      <w:r w:rsidRPr="00565C4C">
        <w:rPr>
          <w:rFonts w:ascii="Times New Roman" w:eastAsiaTheme="minorEastAsia" w:hAnsi="Times New Roman" w:cs="Times New Roman"/>
          <w:sz w:val="24"/>
          <w:szCs w:val="24"/>
          <w:lang w:val="en-US" w:eastAsia="pt-PT"/>
        </w:rPr>
        <w:t>1.Postgrad Med.2019;131(7):438-44</w:t>
      </w:r>
    </w:p>
    <w:p w14:paraId="261B6FFB" w14:textId="77777777" w:rsidR="00D4103C" w:rsidRPr="00565C4C" w:rsidRDefault="00D4103C" w:rsidP="00D4103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pt-PT"/>
        </w:rPr>
      </w:pPr>
      <w:r w:rsidRPr="00565C4C">
        <w:rPr>
          <w:rFonts w:ascii="Times New Roman" w:eastAsiaTheme="minorEastAsia" w:hAnsi="Times New Roman" w:cs="Times New Roman"/>
          <w:sz w:val="24"/>
          <w:szCs w:val="24"/>
          <w:lang w:val="en-US" w:eastAsia="pt-PT"/>
        </w:rPr>
        <w:t>2.Pain Physician2020;23[4S</w:t>
      </w:r>
      <w:proofErr w:type="gramStart"/>
      <w:r w:rsidRPr="00565C4C">
        <w:rPr>
          <w:rFonts w:ascii="Times New Roman" w:eastAsiaTheme="minorEastAsia" w:hAnsi="Times New Roman" w:cs="Times New Roman"/>
          <w:sz w:val="24"/>
          <w:szCs w:val="24"/>
          <w:lang w:val="en-US" w:eastAsia="pt-PT"/>
        </w:rPr>
        <w:t>]:S</w:t>
      </w:r>
      <w:proofErr w:type="gramEnd"/>
      <w:r w:rsidRPr="00565C4C">
        <w:rPr>
          <w:rFonts w:ascii="Times New Roman" w:eastAsiaTheme="minorEastAsia" w:hAnsi="Times New Roman" w:cs="Times New Roman"/>
          <w:sz w:val="24"/>
          <w:szCs w:val="24"/>
          <w:lang w:val="en-US" w:eastAsia="pt-PT"/>
        </w:rPr>
        <w:t>183-204</w:t>
      </w:r>
    </w:p>
    <w:p w14:paraId="05A3B4D2" w14:textId="77777777" w:rsidR="00D4103C" w:rsidRPr="00565C4C" w:rsidRDefault="00D4103C" w:rsidP="00D4103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pt-PT"/>
        </w:rPr>
      </w:pPr>
      <w:r w:rsidRPr="00565C4C">
        <w:rPr>
          <w:rFonts w:ascii="Times New Roman" w:eastAsiaTheme="minorEastAsia" w:hAnsi="Times New Roman" w:cs="Times New Roman"/>
          <w:sz w:val="24"/>
          <w:szCs w:val="24"/>
          <w:lang w:val="en-US" w:eastAsia="pt-PT"/>
        </w:rPr>
        <w:t> </w:t>
      </w:r>
      <w:r w:rsidRPr="00565C4C">
        <w:rPr>
          <w:rFonts w:ascii="Times New Roman" w:eastAsiaTheme="minorEastAsia" w:hAnsi="Times New Roman" w:cs="Times New Roman"/>
          <w:noProof/>
          <w:sz w:val="24"/>
          <w:szCs w:val="24"/>
          <w:lang w:val="en-US" w:eastAsia="pt-PT"/>
        </w:rPr>
        <w:drawing>
          <wp:inline distT="0" distB="0" distL="0" distR="0" wp14:anchorId="0DCA347D" wp14:editId="214C51EA">
            <wp:extent cx="5400040" cy="303784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5C4C">
        <w:rPr>
          <w:rFonts w:ascii="Times New Roman" w:eastAsiaTheme="minorEastAsia" w:hAnsi="Times New Roman" w:cs="Times New Roman"/>
          <w:noProof/>
          <w:sz w:val="24"/>
          <w:szCs w:val="24"/>
          <w:lang w:eastAsia="pt-PT"/>
        </w:rPr>
        <w:t xml:space="preserve"> </w:t>
      </w:r>
      <w:r w:rsidRPr="00565C4C">
        <w:rPr>
          <w:rFonts w:ascii="Times New Roman" w:eastAsiaTheme="minorEastAsia" w:hAnsi="Times New Roman" w:cs="Times New Roman"/>
          <w:noProof/>
          <w:sz w:val="24"/>
          <w:szCs w:val="24"/>
          <w:lang w:val="en-US" w:eastAsia="pt-PT"/>
        </w:rPr>
        <w:drawing>
          <wp:inline distT="0" distB="0" distL="0" distR="0" wp14:anchorId="07EF41D2" wp14:editId="00BCD788">
            <wp:extent cx="5400040" cy="3037840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5C9E73" w14:textId="77777777" w:rsidR="00D4103C" w:rsidRPr="00565C4C" w:rsidRDefault="00D4103C" w:rsidP="00D4103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565C4C">
        <w:rPr>
          <w:rFonts w:ascii="Times New Roman" w:eastAsiaTheme="minorEastAsia" w:hAnsi="Times New Roman" w:cs="Times New Roman"/>
          <w:noProof/>
          <w:sz w:val="24"/>
          <w:szCs w:val="24"/>
          <w:lang w:eastAsia="pt-PT"/>
        </w:rPr>
        <w:drawing>
          <wp:inline distT="0" distB="0" distL="0" distR="0" wp14:anchorId="67A51F65" wp14:editId="44B25F3A">
            <wp:extent cx="5400040" cy="303784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378A88" w14:textId="77777777" w:rsidR="00D4103C" w:rsidRPr="00565C4C" w:rsidRDefault="00D4103C" w:rsidP="00D4103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565C4C">
        <w:rPr>
          <w:rFonts w:ascii="Times New Roman" w:eastAsiaTheme="minorEastAsia" w:hAnsi="Times New Roman" w:cs="Times New Roman"/>
          <w:sz w:val="24"/>
          <w:szCs w:val="24"/>
          <w:lang w:eastAsia="pt-PT"/>
        </w:rPr>
        <w:t>__________________________________________________________</w:t>
      </w:r>
    </w:p>
    <w:p w14:paraId="1FC01BB6" w14:textId="77777777" w:rsidR="00237886" w:rsidRDefault="006E56C3"/>
    <w:sectPr w:rsidR="0023788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1E6"/>
    <w:rsid w:val="006E56C3"/>
    <w:rsid w:val="00C07CB2"/>
    <w:rsid w:val="00D4103C"/>
    <w:rsid w:val="00F351E6"/>
    <w:rsid w:val="00F81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A83F5"/>
  <w15:chartTrackingRefBased/>
  <w15:docId w15:val="{62B06F32-A11F-44D6-955B-6A669A2E2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103C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41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532</Words>
  <Characters>2873</Characters>
  <Application>Microsoft Office Word</Application>
  <DocSecurity>0</DocSecurity>
  <Lines>23</Lines>
  <Paragraphs>6</Paragraphs>
  <ScaleCrop>false</ScaleCrop>
  <Company/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Admedic</dc:creator>
  <cp:keywords/>
  <dc:description/>
  <cp:lastModifiedBy>Admedic</cp:lastModifiedBy>
  <cp:revision>3</cp:revision>
  <dcterms:created xsi:type="dcterms:W3CDTF">2021-04-19T10:01:00Z</dcterms:created>
  <dcterms:modified xsi:type="dcterms:W3CDTF">2021-04-21T20:09:00Z</dcterms:modified>
</cp:coreProperties>
</file>