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97F3A" w14:textId="77777777" w:rsidR="007113A4" w:rsidRPr="007113A4" w:rsidRDefault="007113A4" w:rsidP="007113A4">
      <w:pPr>
        <w:spacing w:after="0" w:line="240" w:lineRule="auto"/>
        <w:jc w:val="both"/>
        <w:outlineLvl w:val="1"/>
        <w:rPr>
          <w:rFonts w:ascii="Times New Roman" w:eastAsia="Times New Roman" w:hAnsi="Times New Roman" w:cs="Times New Roman"/>
          <w:b/>
          <w:bCs/>
          <w:sz w:val="36"/>
          <w:szCs w:val="36"/>
          <w:lang w:eastAsia="pt-PT"/>
        </w:rPr>
      </w:pPr>
      <w:r w:rsidRPr="007113A4">
        <w:rPr>
          <w:rFonts w:ascii="Times New Roman" w:eastAsia="Times New Roman" w:hAnsi="Times New Roman" w:cs="Times New Roman"/>
          <w:b/>
          <w:bCs/>
          <w:sz w:val="36"/>
          <w:szCs w:val="36"/>
          <w:lang w:eastAsia="pt-PT"/>
        </w:rPr>
        <w:t>Medicina Intensiva (Intensive Care Medicine)</w:t>
      </w:r>
    </w:p>
    <w:p w14:paraId="3C82C7FC" w14:textId="77777777" w:rsidR="007113A4" w:rsidRPr="00927CAA" w:rsidRDefault="007113A4" w:rsidP="007113A4">
      <w:pPr>
        <w:spacing w:after="0" w:line="240" w:lineRule="auto"/>
        <w:jc w:val="both"/>
        <w:rPr>
          <w:rFonts w:ascii="Times New Roman" w:eastAsia="Times New Roman" w:hAnsi="Times New Roman" w:cs="Times New Roman"/>
          <w:sz w:val="24"/>
          <w:szCs w:val="24"/>
        </w:rPr>
      </w:pPr>
    </w:p>
    <w:p w14:paraId="0865EFA4" w14:textId="42C62559" w:rsidR="007113A4" w:rsidRDefault="007113A4" w:rsidP="007113A4">
      <w:pPr>
        <w:spacing w:after="0" w:line="240" w:lineRule="auto"/>
        <w:jc w:val="both"/>
        <w:rPr>
          <w:rFonts w:ascii="Times New Roman" w:eastAsiaTheme="minorEastAsia" w:hAnsi="Times New Roman" w:cs="Times New Roman"/>
          <w:sz w:val="24"/>
          <w:szCs w:val="24"/>
          <w:lang w:eastAsia="pt-PT"/>
        </w:rPr>
      </w:pPr>
      <w:r w:rsidRPr="007113A4">
        <w:rPr>
          <w:rFonts w:ascii="Times New Roman" w:eastAsiaTheme="minorEastAsia" w:hAnsi="Times New Roman" w:cs="Times New Roman"/>
          <w:b/>
          <w:bCs/>
          <w:sz w:val="24"/>
          <w:szCs w:val="24"/>
          <w:lang w:eastAsia="pt-PT"/>
        </w:rPr>
        <w:t>Título:</w:t>
      </w:r>
      <w:r w:rsidRPr="007113A4">
        <w:rPr>
          <w:rFonts w:ascii="Times New Roman" w:eastAsiaTheme="minorEastAsia" w:hAnsi="Times New Roman" w:cs="Times New Roman"/>
          <w:sz w:val="24"/>
          <w:szCs w:val="24"/>
          <w:lang w:eastAsia="pt-PT"/>
        </w:rPr>
        <w:t xml:space="preserve"> Síndrome QT longo, silencioso e potencialmente fatal - case report</w:t>
      </w:r>
    </w:p>
    <w:p w14:paraId="2647E16E" w14:textId="0F849FD8" w:rsidR="00927CAA" w:rsidRDefault="00927CAA" w:rsidP="00927CAA">
      <w:pPr>
        <w:pStyle w:val="NormalWeb"/>
      </w:pPr>
      <w:r>
        <w:rPr>
          <w:b/>
          <w:bCs/>
        </w:rPr>
        <w:t>Autores:</w:t>
      </w:r>
      <w:r>
        <w:t xml:space="preserve"> Olga Santos, Daniela Rosinha, Nádia Gonçalves, Paulo Maia</w:t>
      </w:r>
    </w:p>
    <w:p w14:paraId="469391A9" w14:textId="6DF4CE59" w:rsidR="00927CAA" w:rsidRPr="00927CAA" w:rsidRDefault="00927CAA" w:rsidP="00927CAA">
      <w:pPr>
        <w:pStyle w:val="NormalWeb"/>
      </w:pPr>
      <w:r>
        <w:rPr>
          <w:b/>
          <w:bCs/>
        </w:rPr>
        <w:t>Instituições:</w:t>
      </w:r>
      <w:r>
        <w:t xml:space="preserve"> Centro Hospitalar e Universitário do Porto Hospital São Bernardo- Setúbal</w:t>
      </w:r>
    </w:p>
    <w:p w14:paraId="49A7199B" w14:textId="1EA002A8" w:rsidR="007113A4" w:rsidRDefault="007113A4" w:rsidP="007113A4">
      <w:pPr>
        <w:spacing w:after="0" w:line="240" w:lineRule="auto"/>
        <w:jc w:val="both"/>
        <w:rPr>
          <w:rFonts w:ascii="Times New Roman" w:eastAsiaTheme="minorEastAsia" w:hAnsi="Times New Roman" w:cs="Times New Roman"/>
          <w:sz w:val="24"/>
          <w:szCs w:val="24"/>
          <w:lang w:eastAsia="pt-PT"/>
        </w:rPr>
      </w:pPr>
      <w:r w:rsidRPr="007113A4">
        <w:rPr>
          <w:rFonts w:ascii="Times New Roman" w:eastAsiaTheme="minorEastAsia" w:hAnsi="Times New Roman" w:cs="Times New Roman"/>
          <w:b/>
          <w:bCs/>
          <w:sz w:val="24"/>
          <w:szCs w:val="24"/>
          <w:lang w:eastAsia="pt-PT"/>
        </w:rPr>
        <w:t>Área Terapêutica/Tema:</w:t>
      </w:r>
      <w:r w:rsidRPr="007113A4">
        <w:rPr>
          <w:rFonts w:ascii="Times New Roman" w:eastAsiaTheme="minorEastAsia" w:hAnsi="Times New Roman" w:cs="Times New Roman"/>
          <w:sz w:val="24"/>
          <w:szCs w:val="24"/>
          <w:lang w:eastAsia="pt-PT"/>
        </w:rPr>
        <w:t xml:space="preserve"> Medicina Intensiva (Intensive Care Medicine)</w:t>
      </w:r>
    </w:p>
    <w:p w14:paraId="7B92A239" w14:textId="77777777" w:rsidR="00927CAA" w:rsidRPr="007113A4" w:rsidRDefault="00927CAA" w:rsidP="007113A4">
      <w:pPr>
        <w:spacing w:after="0" w:line="240" w:lineRule="auto"/>
        <w:jc w:val="both"/>
        <w:rPr>
          <w:rFonts w:ascii="Times New Roman" w:eastAsiaTheme="minorEastAsia" w:hAnsi="Times New Roman" w:cs="Times New Roman"/>
          <w:sz w:val="24"/>
          <w:szCs w:val="24"/>
          <w:lang w:eastAsia="pt-PT"/>
        </w:rPr>
      </w:pPr>
    </w:p>
    <w:p w14:paraId="2A8E2BEA" w14:textId="3347FC61" w:rsidR="007113A4" w:rsidRPr="00927CAA" w:rsidRDefault="007113A4" w:rsidP="007113A4">
      <w:pPr>
        <w:spacing w:after="0" w:line="240" w:lineRule="auto"/>
        <w:jc w:val="both"/>
        <w:rPr>
          <w:rFonts w:ascii="Times New Roman" w:eastAsia="Times New Roman" w:hAnsi="Times New Roman" w:cs="Times New Roman"/>
          <w:sz w:val="24"/>
          <w:szCs w:val="24"/>
        </w:rPr>
      </w:pPr>
      <w:r w:rsidRPr="00927CAA">
        <w:rPr>
          <w:rFonts w:ascii="Times New Roman" w:eastAsia="Times New Roman" w:hAnsi="Times New Roman" w:cs="Times New Roman"/>
          <w:b/>
          <w:bCs/>
          <w:sz w:val="24"/>
          <w:szCs w:val="24"/>
        </w:rPr>
        <w:t>Resumo:</w:t>
      </w:r>
    </w:p>
    <w:p w14:paraId="2B3767AE" w14:textId="77777777" w:rsidR="007113A4" w:rsidRPr="007113A4" w:rsidRDefault="007113A4" w:rsidP="007113A4">
      <w:pPr>
        <w:spacing w:after="0" w:line="240" w:lineRule="auto"/>
        <w:jc w:val="both"/>
        <w:rPr>
          <w:rFonts w:ascii="Times New Roman" w:eastAsiaTheme="minorEastAsia" w:hAnsi="Times New Roman" w:cs="Times New Roman"/>
          <w:sz w:val="24"/>
          <w:szCs w:val="24"/>
          <w:lang w:eastAsia="pt-PT"/>
        </w:rPr>
      </w:pPr>
      <w:r w:rsidRPr="007113A4">
        <w:rPr>
          <w:rFonts w:ascii="Times New Roman" w:eastAsiaTheme="minorEastAsia" w:hAnsi="Times New Roman" w:cs="Times New Roman"/>
          <w:sz w:val="24"/>
          <w:szCs w:val="24"/>
          <w:lang w:eastAsia="pt-PT"/>
        </w:rPr>
        <w:t>Introdução: A síndrome de QT longo (SQT) é um distúrbio de condução elétrica do miocárdio que o deixa vulnerável a taquidisritmias ventriculares, do tipo torsades de pointes, que podem provocar síncope e morte súbita. A SQTL pode ser congénita ou adquirida, sendo esta a mais comum e muitas vezes sub-diagnosticada. O risco é superior nos doentes de cuidados intensivos, doentes polimedicados, muitas vezes com condições que favorecem disritmias e com distúrbios eletrolíticos e metabólicos. A deteção de intervalo QT corrigido ≥ 450ms, deve ser considerada como muito suspeita. Apresentamos um caso de uma doente de 44 anos que durante o seu internamento por hemorragia digestiva, desenvolve um evento arritmogénico grave seguido de paragem cardio-respiratória (PCR). Trata-se de um caso de SQTL adquirido, iatrogénico a medidas terapêuticas instituídas.</w:t>
      </w:r>
    </w:p>
    <w:p w14:paraId="0791567B" w14:textId="77777777" w:rsidR="007113A4" w:rsidRPr="007113A4" w:rsidRDefault="007113A4" w:rsidP="007113A4">
      <w:pPr>
        <w:spacing w:after="0" w:line="240" w:lineRule="auto"/>
        <w:jc w:val="both"/>
        <w:rPr>
          <w:rFonts w:ascii="Times New Roman" w:eastAsiaTheme="minorEastAsia" w:hAnsi="Times New Roman" w:cs="Times New Roman"/>
          <w:sz w:val="24"/>
          <w:szCs w:val="24"/>
          <w:lang w:eastAsia="pt-PT"/>
        </w:rPr>
      </w:pPr>
      <w:r w:rsidRPr="007113A4">
        <w:rPr>
          <w:rFonts w:ascii="Times New Roman" w:eastAsiaTheme="minorEastAsia" w:hAnsi="Times New Roman" w:cs="Times New Roman"/>
          <w:sz w:val="24"/>
          <w:szCs w:val="24"/>
          <w:lang w:eastAsia="pt-PT"/>
        </w:rPr>
        <w:t>Caso Clínico: Doente, 44 anos, antecedentes pessoais de cirrose alcoólica, child-Pugh B, com hipertensão portal e varizes esofágicas. Admitida na Urgência por hematemeses e anemia, secundário a varizes esofágicas sangrantes. Transferida para Unidade de Cuidados Intermédios Médicos para vigilância e estabilização clínica, com necessidade de transfusão sanguínea e tratamento com terlipressina. No 2º dia de internamento teve episódio súbito de alteração do estado de consciência, associado a um torsades de pointes que evolui para fibrilação ventricular. Iniciou manobras de SAV com reversão após 3º choque. Na avaliação foi constatada hipocaliémia prontamente corrigida. ECG 12 derivações: Prolongamento Qtc490 segundos, sem sinais de isquemia. Doente admitida na Unidade de Cuidados Intensivos com evolução favorável, extubada 72 horas após PCR, sem défices neurológicos. Teve alta ao 10º dia de internamento orientada para consulta.</w:t>
      </w:r>
    </w:p>
    <w:p w14:paraId="6DAF5F1C" w14:textId="77777777" w:rsidR="007113A4" w:rsidRPr="007113A4" w:rsidRDefault="007113A4" w:rsidP="007113A4">
      <w:pPr>
        <w:spacing w:after="0" w:line="240" w:lineRule="auto"/>
        <w:jc w:val="both"/>
        <w:rPr>
          <w:rFonts w:ascii="Times New Roman" w:eastAsiaTheme="minorEastAsia" w:hAnsi="Times New Roman" w:cs="Times New Roman"/>
          <w:sz w:val="24"/>
          <w:szCs w:val="24"/>
          <w:lang w:eastAsia="pt-PT"/>
        </w:rPr>
      </w:pPr>
      <w:r w:rsidRPr="007113A4">
        <w:rPr>
          <w:rFonts w:ascii="Times New Roman" w:eastAsiaTheme="minorEastAsia" w:hAnsi="Times New Roman" w:cs="Times New Roman"/>
          <w:sz w:val="24"/>
          <w:szCs w:val="24"/>
          <w:lang w:eastAsia="pt-PT"/>
        </w:rPr>
        <w:t>Discussão: Existem vários fármacos frequentemente implicados no SQTL, pois causam inibição da corrente rápida de influxo potássio nos cardiomiócitos, entre outros mecanismos. Além disso, alterações eletrolíticas aumentam a vulnerabilidade disrítmica. Neste caso a toma de terlipressina e a hipocaliemia foram fatores precipitantes de PCR. A realização e análise de um ECG de base nesta doente poderia ter feito o diagnóstico diferencial entre SQTL congénito e adquirido e eventualmente evitado este evento.</w:t>
      </w:r>
    </w:p>
    <w:p w14:paraId="7BE09860" w14:textId="77777777" w:rsidR="007113A4" w:rsidRPr="007113A4" w:rsidRDefault="007113A4" w:rsidP="007113A4">
      <w:pPr>
        <w:spacing w:after="0" w:line="240" w:lineRule="auto"/>
        <w:jc w:val="both"/>
        <w:rPr>
          <w:rFonts w:ascii="Times New Roman" w:eastAsiaTheme="minorEastAsia" w:hAnsi="Times New Roman" w:cs="Times New Roman"/>
          <w:sz w:val="24"/>
          <w:szCs w:val="24"/>
          <w:lang w:eastAsia="pt-PT"/>
        </w:rPr>
      </w:pPr>
      <w:r w:rsidRPr="007113A4">
        <w:rPr>
          <w:rFonts w:ascii="Times New Roman" w:eastAsiaTheme="minorEastAsia" w:hAnsi="Times New Roman" w:cs="Times New Roman"/>
          <w:sz w:val="24"/>
          <w:szCs w:val="24"/>
          <w:lang w:eastAsia="pt-PT"/>
        </w:rPr>
        <w:t>O tratamento das arritmias ventriculares em contexto de SQTL, é distinto do tratamento das arritmias ventriculares noutros contextos. Destaca-se, em particular, a amiodarona, que prolonga adicionalmente o intervalo QT, agravando a situação.</w:t>
      </w:r>
    </w:p>
    <w:p w14:paraId="72428798" w14:textId="77777777" w:rsidR="007113A4" w:rsidRPr="007113A4" w:rsidRDefault="007113A4" w:rsidP="007113A4">
      <w:pPr>
        <w:spacing w:after="0" w:line="240" w:lineRule="auto"/>
        <w:jc w:val="both"/>
        <w:rPr>
          <w:rFonts w:ascii="Times New Roman" w:eastAsiaTheme="minorEastAsia" w:hAnsi="Times New Roman" w:cs="Times New Roman"/>
          <w:sz w:val="24"/>
          <w:szCs w:val="24"/>
          <w:lang w:eastAsia="pt-PT"/>
        </w:rPr>
      </w:pPr>
      <w:r w:rsidRPr="007113A4">
        <w:rPr>
          <w:rFonts w:ascii="Times New Roman" w:eastAsiaTheme="minorEastAsia" w:hAnsi="Times New Roman" w:cs="Times New Roman"/>
          <w:sz w:val="24"/>
          <w:szCs w:val="24"/>
          <w:lang w:eastAsia="pt-PT"/>
        </w:rPr>
        <w:t>Conclusão: A SQTL é uma possível causa de morbimortalidade na UCI e no bloco operatório, pois pode estar relacionada com fármacos frequentemente utilizados na prática clínica. Esta condição necessita do conhecimento do médico a fim de evitar desfechos desfavoráveis. Um simples ECG de rotina pode salvar vidas.</w:t>
      </w:r>
    </w:p>
    <w:p w14:paraId="7D58C1A2" w14:textId="77777777" w:rsidR="007113A4" w:rsidRPr="007113A4" w:rsidRDefault="007113A4" w:rsidP="007113A4">
      <w:pPr>
        <w:spacing w:after="0" w:line="240" w:lineRule="auto"/>
        <w:jc w:val="both"/>
        <w:rPr>
          <w:rFonts w:ascii="Times New Roman" w:eastAsiaTheme="minorEastAsia" w:hAnsi="Times New Roman" w:cs="Times New Roman"/>
          <w:sz w:val="24"/>
          <w:szCs w:val="24"/>
          <w:lang w:eastAsia="pt-PT"/>
        </w:rPr>
      </w:pPr>
      <w:r w:rsidRPr="007113A4">
        <w:rPr>
          <w:rFonts w:ascii="Times New Roman" w:eastAsiaTheme="minorEastAsia" w:hAnsi="Times New Roman" w:cs="Times New Roman"/>
          <w:sz w:val="24"/>
          <w:szCs w:val="24"/>
          <w:lang w:eastAsia="pt-PT"/>
        </w:rPr>
        <w:t>__________________________________________________________</w:t>
      </w:r>
    </w:p>
    <w:p w14:paraId="7CAE99E2" w14:textId="77777777" w:rsidR="00237886" w:rsidRDefault="004D4F9A"/>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AB"/>
    <w:rsid w:val="004D4F9A"/>
    <w:rsid w:val="00515FAB"/>
    <w:rsid w:val="007113A4"/>
    <w:rsid w:val="00927CAA"/>
    <w:rsid w:val="00C07CB2"/>
    <w:rsid w:val="00F81389"/>
    <w:rsid w:val="00FE29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D40D"/>
  <w15:chartTrackingRefBased/>
  <w15:docId w15:val="{02EFE4F8-4E8B-4703-A3A1-281D6C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27CAA"/>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510</Words>
  <Characters>2755</Characters>
  <Application>Microsoft Office Word</Application>
  <DocSecurity>0</DocSecurity>
  <Lines>22</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4</cp:revision>
  <dcterms:created xsi:type="dcterms:W3CDTF">2021-03-24T10:47:00Z</dcterms:created>
  <dcterms:modified xsi:type="dcterms:W3CDTF">2021-04-06T13:02:00Z</dcterms:modified>
</cp:coreProperties>
</file>