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E51E" w14:textId="77777777" w:rsidR="007B7FA9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Anestesia de Urgência em Síndrome de Stiff Person – um desafio anestésico</w:t>
      </w:r>
    </w:p>
    <w:p w14:paraId="51007E59" w14:textId="77777777" w:rsidR="007B7FA9" w:rsidRDefault="007B7FA9" w:rsidP="007B7FA9">
      <w:pPr>
        <w:pStyle w:val="NormalWeb"/>
      </w:pPr>
      <w:r>
        <w:rPr>
          <w:b/>
          <w:bCs/>
        </w:rPr>
        <w:t>Autores:</w:t>
      </w:r>
      <w:r>
        <w:t xml:space="preserve"> A. Sofia Pinto (apresentador) Bárbara Sousa (1º autor) Mihran Portugalyan André Delgado Pedro Godinho Cristina Carmona</w:t>
      </w:r>
    </w:p>
    <w:p w14:paraId="1AFBFCFE" w14:textId="77777777" w:rsidR="007B7FA9" w:rsidRPr="00690913" w:rsidRDefault="007B7FA9" w:rsidP="007B7FA9">
      <w:pPr>
        <w:pStyle w:val="NormalWeb"/>
      </w:pPr>
      <w:r>
        <w:rPr>
          <w:b/>
          <w:bCs/>
        </w:rPr>
        <w:t>Instituições:</w:t>
      </w:r>
      <w:r>
        <w:t xml:space="preserve"> Hospital Prof. Doutor Fernando Fonseca, EPE</w:t>
      </w:r>
    </w:p>
    <w:p w14:paraId="50255BE3" w14:textId="77777777" w:rsidR="007B7FA9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Prática baseada na evidência e melhoria da qualidade (Evidence-based Practice and Quality Improvement)</w:t>
      </w:r>
    </w:p>
    <w:p w14:paraId="4442F579" w14:textId="77777777" w:rsidR="007B7FA9" w:rsidRPr="00B620D3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57CFECE9" w14:textId="77777777" w:rsidR="007B7FA9" w:rsidRPr="00A828DE" w:rsidRDefault="007B7FA9" w:rsidP="007B7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8DE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5EC08B32" w14:textId="77777777" w:rsidR="007B7FA9" w:rsidRPr="00B620D3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Introdução: A síndrome de Stiff Person (SSP) é uma doença neurológica rara de causa auto-imune, com implicações anestésicas importantes, uma vez que cursa com redução da produção do ácido gama-aminobutírico (GABA).2 A escolha da técnica anestésica, assim como a monitorização, assumem um papel essencial na abordagem destes doentes.1</w:t>
      </w:r>
    </w:p>
    <w:p w14:paraId="1BA8F43A" w14:textId="77777777" w:rsidR="007B7FA9" w:rsidRPr="00B620D3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Caso clínico: Homem, 56 anos, com antecedentes de esferocitose hereditária. Internado para esclarecimento de quadro com 6 semanas de evolução de fraqueza nos membros inferiores, hiperreflexia miotática generalizada e espasticidade marcada. Após o diagnóstico etiológico provável de SSP, iniciou terapêutica com clonazepam, baclofeno e corticóide. A D7 de internamento, queda da própria altura, com documentação de hematoma subcapsular esplénico e hemoperitoneu, e indicação para esplenectomia urgente. À entrada no bloco, doente obnubilado, com PA 98/58mmHg, taquicárdico (114bpm), com jejum e sem sinais de via aérea difícil. Após monitorização standard da ASA, PA invasiva, BIS e TOF, optou-se por anestesia geral endovenosa (AG EV) e intubação orotraqueal com propofol (80mg), ketamina (50mg), fentanil (0,15mg) e rocurónio (80mg). Manutenção anestésica com propofol (TCI), sem bólus adicionais de relaxante muscular (RM). Perdas hemáticas estimadas de 3100mL e reposição volémica com fluidoterapia e hemoderivados. Sem necessidade de suporte aminérgico. No final da cirurgia, iniciou perfusão de morfina com droperidol a 2mg/h, após bólus de 6mg. De acordo com o TOF, administrou-se sugamadex (200mg) e o doente foi extubado e transferido para a UCI, onde permaneceu 3 dias, sem intercorrências.</w:t>
      </w:r>
    </w:p>
    <w:p w14:paraId="3BAE2099" w14:textId="77777777" w:rsidR="007B7FA9" w:rsidRPr="00B620D3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Discussão: A etiologia do SSP não é totalmente conhecida mas cursa com disfunção das vias do GABA, conduzindo a redução do seu efeito inibitório sobre os neurónios motores, resultando em hiperatividade deste sistema e rigidez muscular. Os principais desafios anestésicos relacionam-se com: escolha da técnica anestésica pelas potenciais interações farmacológicas com o sistema GABA e com a terapêutica do SSP; prevenção de fatores desencadeantes de exacerbações, como a dor/ stress cirúrgico; controlo da temperatura, pela interferência do baclofeno na sua perceção. A utilização de halogenados e RM é controversa na literatura, devido ao risco de agravarem situações de hipotonia e fraqueza muscular com necessidade de manutenção de ventilação mecânica no pós-operatório, pelo que a AG EV foi a técnica escolhida. </w:t>
      </w:r>
    </w:p>
    <w:p w14:paraId="22256B05" w14:textId="77777777" w:rsidR="007B7FA9" w:rsidRPr="00B620D3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Atendendo à escassa literatura publicada, é essencial uma escolha criteriosa dos fármacos anestésicos, considerando as suas interações. Recomenda-se a monitorização cuidadosa da função respiratória, bloqueio neuromuscular, profundidade anestésica e temperatura.  Deve ser ainda dado ênfase ao controlo da dor pós-operatória. Pelo risco acrescido de complicações, a vigilância destes doentes no pós-operatório e a sua referenciação são fundamentais.</w:t>
      </w:r>
    </w:p>
    <w:p w14:paraId="108765B4" w14:textId="77777777" w:rsidR="007B7FA9" w:rsidRPr="00690913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90913">
        <w:rPr>
          <w:rFonts w:ascii="Times New Roman" w:eastAsiaTheme="minorEastAsia" w:hAnsi="Times New Roman" w:cs="Times New Roman"/>
          <w:sz w:val="24"/>
          <w:szCs w:val="24"/>
          <w:lang w:eastAsia="pt-PT"/>
        </w:rPr>
        <w:t>Referências:</w:t>
      </w:r>
    </w:p>
    <w:p w14:paraId="3555576C" w14:textId="77777777" w:rsidR="007B7FA9" w:rsidRPr="00690913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90913">
        <w:rPr>
          <w:rFonts w:ascii="Times New Roman" w:eastAsiaTheme="minorEastAsia" w:hAnsi="Times New Roman" w:cs="Times New Roman"/>
          <w:sz w:val="24"/>
          <w:szCs w:val="24"/>
          <w:lang w:eastAsia="pt-PT"/>
        </w:rPr>
        <w:t>1. J Anest &amp; Inten Care Med. 2017; 3(3):555615</w:t>
      </w:r>
    </w:p>
    <w:p w14:paraId="2607AA72" w14:textId="77777777" w:rsidR="007B7FA9" w:rsidRPr="00690913" w:rsidRDefault="007B7FA9" w:rsidP="007B7F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90913">
        <w:rPr>
          <w:rFonts w:ascii="Times New Roman" w:eastAsiaTheme="minorEastAsia" w:hAnsi="Times New Roman" w:cs="Times New Roman"/>
          <w:sz w:val="24"/>
          <w:szCs w:val="24"/>
          <w:lang w:eastAsia="pt-PT"/>
        </w:rPr>
        <w:t>2. Rev Bras Anestesiol. 2016;66(5):543-545</w:t>
      </w:r>
    </w:p>
    <w:p w14:paraId="44933D1B" w14:textId="77777777" w:rsidR="00237886" w:rsidRDefault="007B7FA9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3D"/>
    <w:rsid w:val="007B7FA9"/>
    <w:rsid w:val="009B023D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EC7DB-B0DA-4E19-AE40-5D78C2BC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FA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2021-04-19T10:21:00Z</dcterms:created>
  <dcterms:modified xsi:type="dcterms:W3CDTF">2021-04-19T10:21:00Z</dcterms:modified>
</cp:coreProperties>
</file>