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E51E" w14:textId="77777777" w:rsidR="007B7FA9" w:rsidRDefault="007B7FA9" w:rsidP="007B7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B620D3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Título:</w:t>
      </w:r>
      <w:r w:rsidRPr="00B620D3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Anestesia de Urgência em Síndrome de Stiff Person – um desafio anestésico</w:t>
      </w:r>
    </w:p>
    <w:p w14:paraId="51007E59" w14:textId="77777777" w:rsidR="007B7FA9" w:rsidRDefault="007B7FA9" w:rsidP="007B7FA9">
      <w:pPr>
        <w:pStyle w:val="NormalWeb"/>
      </w:pPr>
      <w:r>
        <w:rPr>
          <w:b/>
          <w:bCs/>
        </w:rPr>
        <w:t>Autores:</w:t>
      </w:r>
      <w:r>
        <w:t xml:space="preserve"> A. Sofia Pinto (apresentador) Bárbara Sousa (1º autor) Mihran Portugalyan André Delgado Pedro Godinho Cristina Carmona</w:t>
      </w:r>
    </w:p>
    <w:p w14:paraId="1AFBFCFE" w14:textId="77777777" w:rsidR="007B7FA9" w:rsidRPr="00690913" w:rsidRDefault="007B7FA9" w:rsidP="007B7FA9">
      <w:pPr>
        <w:pStyle w:val="NormalWeb"/>
      </w:pPr>
      <w:r>
        <w:rPr>
          <w:b/>
          <w:bCs/>
        </w:rPr>
        <w:t>Instituições:</w:t>
      </w:r>
      <w:r>
        <w:t xml:space="preserve"> Hospital Prof. Doutor Fernando Fonseca, EPE</w:t>
      </w:r>
    </w:p>
    <w:p w14:paraId="50255BE3" w14:textId="77777777" w:rsidR="007B7FA9" w:rsidRDefault="007B7FA9" w:rsidP="007B7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B620D3">
        <w:rPr>
          <w:rFonts w:ascii="Times New Roman" w:eastAsiaTheme="minorEastAsia" w:hAnsi="Times New Roman" w:cs="Times New Roman"/>
          <w:b/>
          <w:bCs/>
          <w:sz w:val="24"/>
          <w:szCs w:val="24"/>
          <w:lang w:eastAsia="pt-PT"/>
        </w:rPr>
        <w:t>Área Terapêutica/Tema:</w:t>
      </w:r>
      <w:r w:rsidRPr="00B620D3">
        <w:rPr>
          <w:rFonts w:ascii="Times New Roman" w:eastAsiaTheme="minorEastAsia" w:hAnsi="Times New Roman" w:cs="Times New Roman"/>
          <w:sz w:val="24"/>
          <w:szCs w:val="24"/>
          <w:lang w:eastAsia="pt-PT"/>
        </w:rPr>
        <w:t xml:space="preserve"> Prática baseada na evidência e melhoria da qualidade (Evidence-based Practice and Quality Improvement)</w:t>
      </w:r>
    </w:p>
    <w:p w14:paraId="4442F579" w14:textId="77777777" w:rsidR="007B7FA9" w:rsidRPr="00B620D3" w:rsidRDefault="007B7FA9" w:rsidP="007B7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</w:p>
    <w:p w14:paraId="57CFECE9" w14:textId="77777777" w:rsidR="007B7FA9" w:rsidRPr="00A828DE" w:rsidRDefault="007B7FA9" w:rsidP="007B7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8DE">
        <w:rPr>
          <w:rFonts w:ascii="Times New Roman" w:eastAsia="Times New Roman" w:hAnsi="Times New Roman" w:cs="Times New Roman"/>
          <w:b/>
          <w:bCs/>
          <w:sz w:val="24"/>
          <w:szCs w:val="24"/>
        </w:rPr>
        <w:t>Resumo:</w:t>
      </w:r>
    </w:p>
    <w:p w14:paraId="5EC08B32" w14:textId="77777777" w:rsidR="007B7FA9" w:rsidRPr="00B620D3" w:rsidRDefault="007B7FA9" w:rsidP="007B7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B620D3">
        <w:rPr>
          <w:rFonts w:ascii="Times New Roman" w:eastAsiaTheme="minorEastAsia" w:hAnsi="Times New Roman" w:cs="Times New Roman"/>
          <w:sz w:val="24"/>
          <w:szCs w:val="24"/>
          <w:lang w:eastAsia="pt-PT"/>
        </w:rPr>
        <w:t>Introdução: A síndrome de Stiff Person (SSP) é uma doença neurológica rara de causa auto-imune, com implicações anestésicas importantes, uma vez que cursa com redução da produção do ácido gama-aminobutírico (GABA).2 A escolha da técnica anestésica, assim como a monitorização, assumem um papel essencial na abordagem destes doentes.1</w:t>
      </w:r>
    </w:p>
    <w:p w14:paraId="1BA8F43A" w14:textId="77777777" w:rsidR="007B7FA9" w:rsidRPr="00B620D3" w:rsidRDefault="007B7FA9" w:rsidP="007B7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B620D3">
        <w:rPr>
          <w:rFonts w:ascii="Times New Roman" w:eastAsiaTheme="minorEastAsia" w:hAnsi="Times New Roman" w:cs="Times New Roman"/>
          <w:sz w:val="24"/>
          <w:szCs w:val="24"/>
          <w:lang w:eastAsia="pt-PT"/>
        </w:rPr>
        <w:t>Caso clínico: Homem, 56 anos, com antecedentes de esferocitose hereditária. Internado para esclarecimento de quadro com 6 semanas de evolução de fraqueza nos membros inferiores, hiperreflexia miotática generalizada e espasticidade marcada. Após o diagnóstico etiológico provável de SSP, iniciou terapêutica com clonazepam, baclofeno e corticóide. A D7 de internamento, queda da própria altura, com documentação de hematoma subcapsular esplénico e hemoperitoneu, e indicação para esplenectomia urgente. À entrada no bloco, doente obnubilado, com PA 98/58mmHg, taquicárdico (114bpm), com jejum e sem sinais de via aérea difícil. Após monitorização standard da ASA, PA invasiva, BIS e TOF, optou-se por anestesia geral endovenosa (AG EV) e intubação orotraqueal com propofol (80mg), ketamina (50mg), fentanil (0,15mg) e rocurónio (80mg). Manutenção anestésica com propofol (TCI), sem bólus adicionais de relaxante muscular (RM). Perdas hemáticas estimadas de 3100mL e reposição volémica com fluidoterapia e hemoderivados. Sem necessidade de suporte aminérgico. No final da cirurgia, iniciou perfusão de morfina com droperidol a 2mg/h, após bólus de 6mg. De acordo com o TOF, administrou-se sugamadex (200mg) e o doente foi extubado e transferido para a UCI, onde permaneceu 3 dias, sem intercorrências.</w:t>
      </w:r>
    </w:p>
    <w:p w14:paraId="3BAE2099" w14:textId="77777777" w:rsidR="007B7FA9" w:rsidRPr="00B620D3" w:rsidRDefault="007B7FA9" w:rsidP="007B7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B620D3">
        <w:rPr>
          <w:rFonts w:ascii="Times New Roman" w:eastAsiaTheme="minorEastAsia" w:hAnsi="Times New Roman" w:cs="Times New Roman"/>
          <w:sz w:val="24"/>
          <w:szCs w:val="24"/>
          <w:lang w:eastAsia="pt-PT"/>
        </w:rPr>
        <w:t>Discussão: A etiologia do SSP não é totalmente conhecida mas cursa com disfunção das vias do GABA, conduzindo a redução do seu efeito inibitório sobre os neurónios motores, resultando em hiperatividade deste sistema e rigidez muscular. Os principais desafios anestésicos relacionam-se com: escolha da técnica anestésica pelas potenciais interações farmacológicas com o sistema GABA e com a terapêutica do SSP; prevenção de fatores desencadeantes de exacerbações, como a dor/ stress cirúrgico; controlo da temperatura, pela interferência do baclofeno na sua perceção. A utilização de halogenados e RM é controversa na literatura, devido ao risco de agravarem situações de hipotonia e fraqueza muscular com necessidade de manutenção de ventilação mecânica no pós-operatório, pelo que a AG EV foi a técnica escolhida. </w:t>
      </w:r>
    </w:p>
    <w:p w14:paraId="22256B05" w14:textId="77777777" w:rsidR="007B7FA9" w:rsidRPr="00B620D3" w:rsidRDefault="007B7FA9" w:rsidP="007B7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B620D3">
        <w:rPr>
          <w:rFonts w:ascii="Times New Roman" w:eastAsiaTheme="minorEastAsia" w:hAnsi="Times New Roman" w:cs="Times New Roman"/>
          <w:sz w:val="24"/>
          <w:szCs w:val="24"/>
          <w:lang w:eastAsia="pt-PT"/>
        </w:rPr>
        <w:t>Atendendo à escassa literatura publicada, é essencial uma escolha criteriosa dos fármacos anestésicos, considerando as suas interações. Recomenda-se a monitorização cuidadosa da função respiratória, bloqueio neuromuscular, profundidade anestésica e temperatura.  Deve ser ainda dado ênfase ao controlo da dor pós-operatória. Pelo risco acrescido de complicações, a vigilância destes doentes no pós-operatório e a sua referenciação são fundamentais.</w:t>
      </w:r>
    </w:p>
    <w:p w14:paraId="108765B4" w14:textId="77777777" w:rsidR="007B7FA9" w:rsidRPr="00690913" w:rsidRDefault="007B7FA9" w:rsidP="007B7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690913">
        <w:rPr>
          <w:rFonts w:ascii="Times New Roman" w:eastAsiaTheme="minorEastAsia" w:hAnsi="Times New Roman" w:cs="Times New Roman"/>
          <w:sz w:val="24"/>
          <w:szCs w:val="24"/>
          <w:lang w:eastAsia="pt-PT"/>
        </w:rPr>
        <w:t>Referências:</w:t>
      </w:r>
    </w:p>
    <w:p w14:paraId="3555576C" w14:textId="77777777" w:rsidR="007B7FA9" w:rsidRPr="00690913" w:rsidRDefault="007B7FA9" w:rsidP="007B7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690913">
        <w:rPr>
          <w:rFonts w:ascii="Times New Roman" w:eastAsiaTheme="minorEastAsia" w:hAnsi="Times New Roman" w:cs="Times New Roman"/>
          <w:sz w:val="24"/>
          <w:szCs w:val="24"/>
          <w:lang w:eastAsia="pt-PT"/>
        </w:rPr>
        <w:t>1. J Anest &amp; Inten Care Med. 2017; 3(3):555615</w:t>
      </w:r>
    </w:p>
    <w:p w14:paraId="2607AA72" w14:textId="77777777" w:rsidR="007B7FA9" w:rsidRPr="00690913" w:rsidRDefault="007B7FA9" w:rsidP="007B7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t-PT"/>
        </w:rPr>
      </w:pPr>
      <w:r w:rsidRPr="00690913">
        <w:rPr>
          <w:rFonts w:ascii="Times New Roman" w:eastAsiaTheme="minorEastAsia" w:hAnsi="Times New Roman" w:cs="Times New Roman"/>
          <w:sz w:val="24"/>
          <w:szCs w:val="24"/>
          <w:lang w:eastAsia="pt-PT"/>
        </w:rPr>
        <w:t>2. Rev Bras Anestesiol. 2016;66(5):543-545</w:t>
      </w:r>
    </w:p>
    <w:p w14:paraId="44933D1B" w14:textId="77777777" w:rsidR="00237886" w:rsidRDefault="007B7FA9"/>
    <w:sectPr w:rsidR="0023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3D"/>
    <w:rsid w:val="007B7FA9"/>
    <w:rsid w:val="009B023D"/>
    <w:rsid w:val="00C07CB2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EC7DB-B0DA-4E19-AE40-5D78C2B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FA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2</cp:revision>
  <dcterms:created xsi:type="dcterms:W3CDTF">2021-04-19T10:21:00Z</dcterms:created>
  <dcterms:modified xsi:type="dcterms:W3CDTF">2021-04-19T10:21:00Z</dcterms:modified>
</cp:coreProperties>
</file>