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6066B" w14:textId="77777777" w:rsidR="007D47C6" w:rsidRPr="001A343E" w:rsidRDefault="007D47C6" w:rsidP="007D47C6">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CO 08   HIP FRACTURES: IMPACT OF THE IMPLEMENTATION OF AN ADDITIONAL FEE-FOR-SERVICE SURGERY REGIME</w:t>
      </w:r>
    </w:p>
    <w:p w14:paraId="5BA123F7" w14:textId="77777777" w:rsidR="007D47C6" w:rsidRPr="008D4853" w:rsidRDefault="007D47C6" w:rsidP="007D47C6">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Beatriz Nunes </w:t>
      </w:r>
      <w:proofErr w:type="gramStart"/>
      <w:r w:rsidRPr="008D4853">
        <w:rPr>
          <w:rStyle w:val="nfase"/>
          <w:rFonts w:ascii="Arial" w:hAnsi="Arial" w:cs="Arial"/>
          <w:sz w:val="20"/>
          <w:szCs w:val="20"/>
        </w:rPr>
        <w:t>Moreira(</w:t>
      </w:r>
      <w:proofErr w:type="gramEnd"/>
      <w:r w:rsidRPr="008D4853">
        <w:rPr>
          <w:rStyle w:val="nfase"/>
          <w:rFonts w:ascii="Arial" w:hAnsi="Arial" w:cs="Arial"/>
          <w:sz w:val="20"/>
          <w:szCs w:val="20"/>
        </w:rPr>
        <w:t xml:space="preserve">1); Paulo Correia(1); António Madureira(1); Caroline </w:t>
      </w:r>
      <w:proofErr w:type="spellStart"/>
      <w:r w:rsidRPr="008D4853">
        <w:rPr>
          <w:rStyle w:val="nfase"/>
          <w:rFonts w:ascii="Arial" w:hAnsi="Arial" w:cs="Arial"/>
          <w:sz w:val="20"/>
          <w:szCs w:val="20"/>
        </w:rPr>
        <w:t>Dahlem</w:t>
      </w:r>
      <w:proofErr w:type="spellEnd"/>
      <w:r w:rsidRPr="008D4853">
        <w:rPr>
          <w:rStyle w:val="nfase"/>
          <w:rFonts w:ascii="Arial" w:hAnsi="Arial" w:cs="Arial"/>
          <w:sz w:val="20"/>
          <w:szCs w:val="20"/>
        </w:rPr>
        <w:t>(1); Marcos Pacheco(1)</w:t>
      </w:r>
    </w:p>
    <w:p w14:paraId="4FEDA68D" w14:textId="77777777" w:rsidR="007D47C6" w:rsidRPr="001A343E" w:rsidRDefault="007D47C6" w:rsidP="007D47C6">
      <w:pPr>
        <w:pStyle w:val="NormalWeb"/>
        <w:spacing w:before="0" w:beforeAutospacing="0" w:after="0" w:afterAutospacing="0"/>
        <w:rPr>
          <w:rFonts w:ascii="Arial" w:hAnsi="Arial" w:cs="Arial"/>
          <w:sz w:val="20"/>
          <w:szCs w:val="20"/>
          <w:lang w:val="en-US"/>
        </w:rPr>
      </w:pPr>
      <w:r w:rsidRPr="001A343E">
        <w:rPr>
          <w:rStyle w:val="nfase"/>
          <w:rFonts w:ascii="Arial" w:hAnsi="Arial" w:cs="Arial"/>
          <w:sz w:val="20"/>
          <w:szCs w:val="20"/>
          <w:lang w:val="en-US"/>
        </w:rPr>
        <w:t xml:space="preserve">(1) CHEDV </w:t>
      </w:r>
    </w:p>
    <w:p w14:paraId="6B1B57AC" w14:textId="77777777" w:rsidR="007D47C6" w:rsidRPr="001A343E" w:rsidRDefault="007D47C6" w:rsidP="007D47C6">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w:t>
      </w:r>
    </w:p>
    <w:p w14:paraId="12FF4345" w14:textId="77777777" w:rsidR="007D47C6" w:rsidRPr="001A343E" w:rsidRDefault="007D47C6" w:rsidP="007D47C6">
      <w:pPr>
        <w:pStyle w:val="NormalWeb"/>
        <w:spacing w:before="0" w:beforeAutospacing="0" w:after="0" w:afterAutospacing="0"/>
        <w:rPr>
          <w:rFonts w:ascii="Arial" w:hAnsi="Arial" w:cs="Arial"/>
          <w:sz w:val="20"/>
          <w:szCs w:val="20"/>
          <w:lang w:val="en-US"/>
        </w:rPr>
      </w:pPr>
      <w:r w:rsidRPr="001A343E">
        <w:rPr>
          <w:rStyle w:val="Forte"/>
          <w:rFonts w:ascii="Arial" w:hAnsi="Arial" w:cs="Arial"/>
          <w:color w:val="000000"/>
          <w:sz w:val="20"/>
          <w:szCs w:val="20"/>
          <w:u w:val="single"/>
          <w:lang w:val="en-US"/>
        </w:rPr>
        <w:t>Introduction:</w:t>
      </w:r>
      <w:r w:rsidRPr="001A343E">
        <w:rPr>
          <w:rFonts w:ascii="Arial" w:hAnsi="Arial" w:cs="Arial"/>
          <w:color w:val="000000"/>
          <w:sz w:val="20"/>
          <w:szCs w:val="20"/>
          <w:lang w:val="en-US"/>
        </w:rPr>
        <w:t xml:space="preserve"> Population aging is associated with an increase of hip fractures. Surgery is the most effective treatment and several studies have revealed that early surgical treatment reduces mortality and complications in these patients, with a 48-hour timing target.</w:t>
      </w:r>
      <w:r w:rsidRPr="001A343E">
        <w:rPr>
          <w:rFonts w:ascii="Arial" w:hAnsi="Arial" w:cs="Arial"/>
          <w:color w:val="000000"/>
          <w:sz w:val="20"/>
          <w:szCs w:val="20"/>
          <w:vertAlign w:val="superscript"/>
          <w:lang w:val="en-US"/>
        </w:rPr>
        <w:t>1</w:t>
      </w:r>
      <w:r w:rsidRPr="001A343E">
        <w:rPr>
          <w:rFonts w:ascii="Arial" w:hAnsi="Arial" w:cs="Arial"/>
          <w:color w:val="000000"/>
          <w:sz w:val="20"/>
          <w:szCs w:val="20"/>
          <w:lang w:val="en-US"/>
        </w:rPr>
        <w:t xml:space="preserve"> Since 2017, the percentage of hip fracture surgery performed within the first 48 hours after admission is a hospital quality indicator in Portugal. On January 1</w:t>
      </w:r>
      <w:r w:rsidRPr="001A343E">
        <w:rPr>
          <w:rFonts w:ascii="Arial" w:hAnsi="Arial" w:cs="Arial"/>
          <w:color w:val="000000"/>
          <w:sz w:val="20"/>
          <w:szCs w:val="20"/>
          <w:vertAlign w:val="superscript"/>
          <w:lang w:val="en-US"/>
        </w:rPr>
        <w:t>st</w:t>
      </w:r>
      <w:r w:rsidRPr="001A343E">
        <w:rPr>
          <w:rFonts w:ascii="Arial" w:hAnsi="Arial" w:cs="Arial"/>
          <w:color w:val="000000"/>
          <w:sz w:val="20"/>
          <w:szCs w:val="20"/>
          <w:lang w:val="en-US"/>
        </w:rPr>
        <w:t>, 2020, with the aim of reducing time to surgery, an additional fee-for-service regime for hip fracture correction was implemented in our hospital. This audit aims to evaluate the impact of this measure on time to surgery and in-hospital mortality in our center.</w:t>
      </w:r>
    </w:p>
    <w:p w14:paraId="65C46330" w14:textId="77777777" w:rsidR="007D47C6" w:rsidRPr="001A343E" w:rsidRDefault="007D47C6" w:rsidP="007D47C6">
      <w:pPr>
        <w:pStyle w:val="NormalWeb"/>
        <w:spacing w:before="0" w:beforeAutospacing="0" w:after="0" w:afterAutospacing="0"/>
        <w:rPr>
          <w:rFonts w:ascii="Arial" w:hAnsi="Arial" w:cs="Arial"/>
          <w:sz w:val="20"/>
          <w:szCs w:val="20"/>
          <w:lang w:val="en-US"/>
        </w:rPr>
      </w:pPr>
      <w:r w:rsidRPr="001A343E">
        <w:rPr>
          <w:rStyle w:val="Forte"/>
          <w:rFonts w:ascii="Arial" w:hAnsi="Arial" w:cs="Arial"/>
          <w:color w:val="000000"/>
          <w:sz w:val="20"/>
          <w:szCs w:val="20"/>
          <w:u w:val="single"/>
          <w:lang w:val="en-US"/>
        </w:rPr>
        <w:t>Methodology:</w:t>
      </w:r>
      <w:r w:rsidRPr="001A343E">
        <w:rPr>
          <w:rFonts w:ascii="Arial" w:hAnsi="Arial" w:cs="Arial"/>
          <w:color w:val="000000"/>
          <w:sz w:val="20"/>
          <w:szCs w:val="20"/>
          <w:lang w:val="en-US"/>
        </w:rPr>
        <w:t xml:space="preserve"> This is a retrospective audit of 1837 patients with a diagnosis of hip fracture, discharged from our hospital between January 1</w:t>
      </w:r>
      <w:r w:rsidRPr="001A343E">
        <w:rPr>
          <w:rFonts w:ascii="Arial" w:hAnsi="Arial" w:cs="Arial"/>
          <w:color w:val="000000"/>
          <w:sz w:val="20"/>
          <w:szCs w:val="20"/>
          <w:vertAlign w:val="superscript"/>
          <w:lang w:val="en-US"/>
        </w:rPr>
        <w:t>st</w:t>
      </w:r>
      <w:r w:rsidRPr="001A343E">
        <w:rPr>
          <w:rFonts w:ascii="Arial" w:hAnsi="Arial" w:cs="Arial"/>
          <w:color w:val="000000"/>
          <w:sz w:val="20"/>
          <w:szCs w:val="20"/>
          <w:lang w:val="en-US"/>
        </w:rPr>
        <w:t>, 2017 and July 31</w:t>
      </w:r>
      <w:r w:rsidRPr="001A343E">
        <w:rPr>
          <w:rFonts w:ascii="Arial" w:hAnsi="Arial" w:cs="Arial"/>
          <w:color w:val="000000"/>
          <w:sz w:val="20"/>
          <w:szCs w:val="20"/>
          <w:vertAlign w:val="superscript"/>
          <w:lang w:val="en-US"/>
        </w:rPr>
        <w:t>st</w:t>
      </w:r>
      <w:r w:rsidRPr="001A343E">
        <w:rPr>
          <w:rFonts w:ascii="Arial" w:hAnsi="Arial" w:cs="Arial"/>
          <w:color w:val="000000"/>
          <w:sz w:val="20"/>
          <w:szCs w:val="20"/>
          <w:lang w:val="en-US"/>
        </w:rPr>
        <w:t>, 2022. Statistical analysis was performed using IBM SPSS Statistics</w:t>
      </w:r>
      <w:r w:rsidRPr="001A343E">
        <w:rPr>
          <w:rStyle w:val="nfase"/>
          <w:rFonts w:ascii="Arial" w:hAnsi="Arial" w:cs="Arial"/>
          <w:color w:val="000000"/>
          <w:sz w:val="20"/>
          <w:szCs w:val="20"/>
          <w:lang w:val="en-US"/>
        </w:rPr>
        <w:t xml:space="preserve"> </w:t>
      </w:r>
      <w:r w:rsidRPr="001A343E">
        <w:rPr>
          <w:rFonts w:ascii="Arial" w:hAnsi="Arial" w:cs="Arial"/>
          <w:color w:val="000000"/>
          <w:sz w:val="20"/>
          <w:szCs w:val="20"/>
          <w:lang w:val="en-US"/>
        </w:rPr>
        <w:t xml:space="preserve">software version 27.0, using Mann-Whitney and chi-square tests and logistic regression models; considering </w:t>
      </w:r>
      <w:r w:rsidRPr="008D4853">
        <w:rPr>
          <w:rFonts w:ascii="Arial" w:hAnsi="Arial" w:cs="Arial"/>
          <w:color w:val="000000"/>
          <w:sz w:val="20"/>
          <w:szCs w:val="20"/>
        </w:rPr>
        <w:t>α</w:t>
      </w:r>
      <w:r w:rsidRPr="001A343E">
        <w:rPr>
          <w:rFonts w:ascii="Arial" w:hAnsi="Arial" w:cs="Arial"/>
          <w:color w:val="000000"/>
          <w:sz w:val="20"/>
          <w:szCs w:val="20"/>
          <w:lang w:val="en-US"/>
        </w:rPr>
        <w:t>=0.05. Results are presented as median [interquartile range], and absolute numbers and percentages.</w:t>
      </w:r>
    </w:p>
    <w:p w14:paraId="3A1E2053" w14:textId="77777777" w:rsidR="007D47C6" w:rsidRPr="001A343E" w:rsidRDefault="007D47C6" w:rsidP="007D47C6">
      <w:pPr>
        <w:pStyle w:val="NormalWeb"/>
        <w:spacing w:before="0" w:beforeAutospacing="0" w:after="0" w:afterAutospacing="0"/>
        <w:rPr>
          <w:rFonts w:ascii="Arial" w:hAnsi="Arial" w:cs="Arial"/>
          <w:sz w:val="20"/>
          <w:szCs w:val="20"/>
          <w:lang w:val="en-US"/>
        </w:rPr>
      </w:pPr>
      <w:r w:rsidRPr="001A343E">
        <w:rPr>
          <w:rStyle w:val="Forte"/>
          <w:rFonts w:ascii="Arial" w:hAnsi="Arial" w:cs="Arial"/>
          <w:color w:val="000000"/>
          <w:sz w:val="20"/>
          <w:szCs w:val="20"/>
          <w:u w:val="single"/>
          <w:lang w:val="en-US"/>
        </w:rPr>
        <w:t>Results:</w:t>
      </w:r>
      <w:r w:rsidRPr="001A343E">
        <w:rPr>
          <w:rFonts w:ascii="Arial" w:hAnsi="Arial" w:cs="Arial"/>
          <w:color w:val="000000"/>
          <w:sz w:val="20"/>
          <w:szCs w:val="20"/>
          <w:lang w:val="en-US"/>
        </w:rPr>
        <w:t xml:space="preserve"> After January 1</w:t>
      </w:r>
      <w:r w:rsidRPr="001A343E">
        <w:rPr>
          <w:rFonts w:ascii="Arial" w:hAnsi="Arial" w:cs="Arial"/>
          <w:color w:val="000000"/>
          <w:sz w:val="20"/>
          <w:szCs w:val="20"/>
          <w:vertAlign w:val="superscript"/>
          <w:lang w:val="en-US"/>
        </w:rPr>
        <w:t>st</w:t>
      </w:r>
      <w:r w:rsidRPr="001A343E">
        <w:rPr>
          <w:rFonts w:ascii="Arial" w:hAnsi="Arial" w:cs="Arial"/>
          <w:color w:val="000000"/>
          <w:sz w:val="20"/>
          <w:szCs w:val="20"/>
          <w:lang w:val="en-US"/>
        </w:rPr>
        <w:t>, 2020, time to surgery was reduced from 114.8 [121.7] hours to 55.5 [75.9] hours (</w:t>
      </w:r>
      <w:r w:rsidRPr="001A343E">
        <w:rPr>
          <w:rStyle w:val="nfase"/>
          <w:rFonts w:ascii="Arial" w:hAnsi="Arial" w:cs="Arial"/>
          <w:color w:val="000000"/>
          <w:sz w:val="20"/>
          <w:szCs w:val="20"/>
          <w:lang w:val="en-US"/>
        </w:rPr>
        <w:t>p</w:t>
      </w:r>
      <w:r w:rsidRPr="001A343E">
        <w:rPr>
          <w:rFonts w:ascii="Arial" w:hAnsi="Arial" w:cs="Arial"/>
          <w:color w:val="000000"/>
          <w:sz w:val="20"/>
          <w:szCs w:val="20"/>
          <w:lang w:val="en-US"/>
        </w:rPr>
        <w:t xml:space="preserve">&lt;0.001) and the percentage of surgeries performed within the </w:t>
      </w:r>
      <w:proofErr w:type="gramStart"/>
      <w:r w:rsidRPr="001A343E">
        <w:rPr>
          <w:rFonts w:ascii="Arial" w:hAnsi="Arial" w:cs="Arial"/>
          <w:color w:val="000000"/>
          <w:sz w:val="20"/>
          <w:szCs w:val="20"/>
          <w:lang w:val="en-US"/>
        </w:rPr>
        <w:t>48 hour</w:t>
      </w:r>
      <w:proofErr w:type="gramEnd"/>
      <w:r w:rsidRPr="001A343E">
        <w:rPr>
          <w:rFonts w:ascii="Arial" w:hAnsi="Arial" w:cs="Arial"/>
          <w:color w:val="000000"/>
          <w:sz w:val="20"/>
          <w:szCs w:val="20"/>
          <w:lang w:val="en-US"/>
        </w:rPr>
        <w:t xml:space="preserve"> target increased from 19.4% [n=174] to 43.4% [n=356] (</w:t>
      </w:r>
      <w:r w:rsidRPr="001A343E">
        <w:rPr>
          <w:rStyle w:val="nfase"/>
          <w:rFonts w:ascii="Arial" w:hAnsi="Arial" w:cs="Arial"/>
          <w:color w:val="000000"/>
          <w:sz w:val="20"/>
          <w:szCs w:val="20"/>
          <w:lang w:val="en-US"/>
        </w:rPr>
        <w:t>p</w:t>
      </w:r>
      <w:r w:rsidRPr="001A343E">
        <w:rPr>
          <w:rFonts w:ascii="Arial" w:hAnsi="Arial" w:cs="Arial"/>
          <w:color w:val="000000"/>
          <w:sz w:val="20"/>
          <w:szCs w:val="20"/>
          <w:lang w:val="en-US"/>
        </w:rPr>
        <w:t>&lt;0.001). Odds ratio of having surgery in the first 48 hours was 1.439 [1.087-1.905] for patients admitted after January 1</w:t>
      </w:r>
      <w:r w:rsidRPr="001A343E">
        <w:rPr>
          <w:rFonts w:ascii="Arial" w:hAnsi="Arial" w:cs="Arial"/>
          <w:color w:val="000000"/>
          <w:sz w:val="20"/>
          <w:szCs w:val="20"/>
          <w:vertAlign w:val="superscript"/>
          <w:lang w:val="en-US"/>
        </w:rPr>
        <w:t>st</w:t>
      </w:r>
      <w:r w:rsidRPr="001A343E">
        <w:rPr>
          <w:rFonts w:ascii="Arial" w:hAnsi="Arial" w:cs="Arial"/>
          <w:color w:val="000000"/>
          <w:sz w:val="20"/>
          <w:szCs w:val="20"/>
          <w:lang w:val="en-US"/>
        </w:rPr>
        <w:t>, 2020. Length of stay was also significantly reduced from 10[12] to 7[8] days (</w:t>
      </w:r>
      <w:r w:rsidRPr="001A343E">
        <w:rPr>
          <w:rStyle w:val="nfase"/>
          <w:rFonts w:ascii="Arial" w:hAnsi="Arial" w:cs="Arial"/>
          <w:color w:val="000000"/>
          <w:sz w:val="20"/>
          <w:szCs w:val="20"/>
          <w:lang w:val="en-US"/>
        </w:rPr>
        <w:t>p</w:t>
      </w:r>
      <w:r w:rsidRPr="001A343E">
        <w:rPr>
          <w:rFonts w:ascii="Arial" w:hAnsi="Arial" w:cs="Arial"/>
          <w:color w:val="000000"/>
          <w:sz w:val="20"/>
          <w:szCs w:val="20"/>
          <w:lang w:val="en-US"/>
        </w:rPr>
        <w:t xml:space="preserve">&lt;0.001). Time to surgery was longer in patients who died (114.0 [116.5] hours vs 82.6 [103.3] hours, </w:t>
      </w:r>
      <w:r w:rsidRPr="001A343E">
        <w:rPr>
          <w:rStyle w:val="nfase"/>
          <w:rFonts w:ascii="Arial" w:hAnsi="Arial" w:cs="Arial"/>
          <w:color w:val="000000"/>
          <w:sz w:val="20"/>
          <w:szCs w:val="20"/>
          <w:lang w:val="en-US"/>
        </w:rPr>
        <w:t>p</w:t>
      </w:r>
      <w:r w:rsidRPr="001A343E">
        <w:rPr>
          <w:rFonts w:ascii="Arial" w:hAnsi="Arial" w:cs="Arial"/>
          <w:color w:val="000000"/>
          <w:sz w:val="20"/>
          <w:szCs w:val="20"/>
          <w:lang w:val="en-US"/>
        </w:rPr>
        <w:t>=0.057); but mortality was not associated neither with surgery after 48 hours (</w:t>
      </w:r>
      <w:r w:rsidRPr="001A343E">
        <w:rPr>
          <w:rStyle w:val="nfase"/>
          <w:rFonts w:ascii="Arial" w:hAnsi="Arial" w:cs="Arial"/>
          <w:color w:val="000000"/>
          <w:sz w:val="20"/>
          <w:szCs w:val="20"/>
          <w:lang w:val="en-US"/>
        </w:rPr>
        <w:t>p</w:t>
      </w:r>
      <w:r w:rsidRPr="001A343E">
        <w:rPr>
          <w:rFonts w:ascii="Arial" w:hAnsi="Arial" w:cs="Arial"/>
          <w:color w:val="000000"/>
          <w:sz w:val="20"/>
          <w:szCs w:val="20"/>
          <w:lang w:val="en-US"/>
        </w:rPr>
        <w:t>=0.354) nor with admission before January 1</w:t>
      </w:r>
      <w:r w:rsidRPr="001A343E">
        <w:rPr>
          <w:rFonts w:ascii="Arial" w:hAnsi="Arial" w:cs="Arial"/>
          <w:color w:val="000000"/>
          <w:sz w:val="20"/>
          <w:szCs w:val="20"/>
          <w:vertAlign w:val="superscript"/>
          <w:lang w:val="en-US"/>
        </w:rPr>
        <w:t>st</w:t>
      </w:r>
      <w:r w:rsidRPr="001A343E">
        <w:rPr>
          <w:rFonts w:ascii="Arial" w:hAnsi="Arial" w:cs="Arial"/>
          <w:color w:val="000000"/>
          <w:sz w:val="20"/>
          <w:szCs w:val="20"/>
          <w:lang w:val="en-US"/>
        </w:rPr>
        <w:t>, 2020 (</w:t>
      </w:r>
      <w:r w:rsidRPr="001A343E">
        <w:rPr>
          <w:rStyle w:val="nfase"/>
          <w:rFonts w:ascii="Arial" w:hAnsi="Arial" w:cs="Arial"/>
          <w:color w:val="000000"/>
          <w:sz w:val="20"/>
          <w:szCs w:val="20"/>
          <w:lang w:val="en-US"/>
        </w:rPr>
        <w:t>p</w:t>
      </w:r>
      <w:r w:rsidRPr="001A343E">
        <w:rPr>
          <w:rFonts w:ascii="Arial" w:hAnsi="Arial" w:cs="Arial"/>
          <w:color w:val="000000"/>
          <w:sz w:val="20"/>
          <w:szCs w:val="20"/>
          <w:lang w:val="en-US"/>
        </w:rPr>
        <w:t>=0.958). In-hospital mortality among non-operated patients was 47.9% [n=57] versus 3.0% [n=52], (</w:t>
      </w:r>
      <w:r w:rsidRPr="001A343E">
        <w:rPr>
          <w:rStyle w:val="nfase"/>
          <w:rFonts w:ascii="Arial" w:hAnsi="Arial" w:cs="Arial"/>
          <w:color w:val="000000"/>
          <w:sz w:val="20"/>
          <w:szCs w:val="20"/>
          <w:lang w:val="en-US"/>
        </w:rPr>
        <w:t>p</w:t>
      </w:r>
      <w:r w:rsidRPr="001A343E">
        <w:rPr>
          <w:rFonts w:ascii="Arial" w:hAnsi="Arial" w:cs="Arial"/>
          <w:color w:val="000000"/>
          <w:sz w:val="20"/>
          <w:szCs w:val="20"/>
          <w:lang w:val="en-US"/>
        </w:rPr>
        <w:t>&lt;0.001). Among 109 deaths, 47.7% [n=52] occurred in the postoperative period; 22.9% [n=25] were caused by severe conditions present at admission; 17.4% [n=19] were due to medical complications that arose after admission in patients initially fit for surgery and 10.1% [n=11] happened during pre-surgery optimization; only 1,8% [n=2] patients had been proposed for conservative treatment.</w:t>
      </w:r>
    </w:p>
    <w:p w14:paraId="30CADB9B" w14:textId="77777777" w:rsidR="007D47C6" w:rsidRPr="001A343E" w:rsidRDefault="007D47C6" w:rsidP="007D47C6">
      <w:pPr>
        <w:pStyle w:val="NormalWeb"/>
        <w:spacing w:before="0" w:beforeAutospacing="0" w:after="0" w:afterAutospacing="0"/>
        <w:rPr>
          <w:rFonts w:ascii="Arial" w:hAnsi="Arial" w:cs="Arial"/>
          <w:sz w:val="20"/>
          <w:szCs w:val="20"/>
          <w:lang w:val="en-US"/>
        </w:rPr>
      </w:pPr>
      <w:r w:rsidRPr="001A343E">
        <w:rPr>
          <w:rStyle w:val="Forte"/>
          <w:rFonts w:ascii="Arial" w:hAnsi="Arial" w:cs="Arial"/>
          <w:color w:val="000000"/>
          <w:sz w:val="20"/>
          <w:szCs w:val="20"/>
          <w:u w:val="single"/>
          <w:lang w:val="en-US"/>
        </w:rPr>
        <w:t>Discussion and Conclusions:</w:t>
      </w:r>
      <w:r w:rsidRPr="001A343E">
        <w:rPr>
          <w:rFonts w:ascii="Arial" w:hAnsi="Arial" w:cs="Arial"/>
          <w:color w:val="000000"/>
          <w:sz w:val="20"/>
          <w:szCs w:val="20"/>
          <w:lang w:val="en-US"/>
        </w:rPr>
        <w:t xml:space="preserve"> Implementation of an additional fee-for-service regime proved to be effective in reducing waiting time until surgery, reducing the hospital stay and improving the hospital quality indicator. However, despite results from other studies showing the opposite, it did not translate into a reduction in global in-hospital mortality. Time to surgery was longer in patients who died (</w:t>
      </w:r>
      <w:r w:rsidRPr="001A343E">
        <w:rPr>
          <w:rStyle w:val="nfase"/>
          <w:rFonts w:ascii="Arial" w:hAnsi="Arial" w:cs="Arial"/>
          <w:color w:val="000000"/>
          <w:sz w:val="20"/>
          <w:szCs w:val="20"/>
          <w:lang w:val="en-US"/>
        </w:rPr>
        <w:t>p</w:t>
      </w:r>
      <w:r w:rsidRPr="001A343E">
        <w:rPr>
          <w:rFonts w:ascii="Arial" w:hAnsi="Arial" w:cs="Arial"/>
          <w:color w:val="000000"/>
          <w:sz w:val="20"/>
          <w:szCs w:val="20"/>
          <w:lang w:val="en-US"/>
        </w:rPr>
        <w:t>=0.057); the lack of statistical significance might be due to low mortality among operated patients and could become clearer if we increase the size of the population. 19 patients died due to complications that arose while waiting for surgery; thus, we believe some of these deaths were preventable if patients underwent surgery sooner. These conclusions seem to reinforce the relevance in maintaining the additional fee-for-service regime.</w:t>
      </w:r>
    </w:p>
    <w:p w14:paraId="71579FC6" w14:textId="77777777" w:rsidR="007D47C6" w:rsidRPr="008D4853" w:rsidRDefault="007D47C6" w:rsidP="007D47C6">
      <w:pPr>
        <w:pStyle w:val="NormalWeb"/>
        <w:spacing w:before="0" w:beforeAutospacing="0" w:after="0" w:afterAutospacing="0"/>
        <w:rPr>
          <w:rFonts w:ascii="Arial" w:hAnsi="Arial" w:cs="Arial"/>
          <w:sz w:val="20"/>
          <w:szCs w:val="20"/>
        </w:rPr>
      </w:pPr>
      <w:proofErr w:type="spellStart"/>
      <w:r w:rsidRPr="008D4853">
        <w:rPr>
          <w:rStyle w:val="Forte"/>
          <w:rFonts w:ascii="Arial" w:hAnsi="Arial" w:cs="Arial"/>
          <w:color w:val="000000"/>
          <w:sz w:val="20"/>
          <w:szCs w:val="20"/>
          <w:u w:val="single"/>
        </w:rPr>
        <w:t>References</w:t>
      </w:r>
      <w:proofErr w:type="spellEnd"/>
      <w:r w:rsidRPr="008D4853">
        <w:rPr>
          <w:rStyle w:val="Forte"/>
          <w:rFonts w:ascii="Arial" w:hAnsi="Arial" w:cs="Arial"/>
          <w:color w:val="000000"/>
          <w:sz w:val="20"/>
          <w:szCs w:val="20"/>
          <w:u w:val="single"/>
        </w:rPr>
        <w:t>:</w:t>
      </w:r>
      <w:r w:rsidRPr="008D4853">
        <w:rPr>
          <w:rFonts w:ascii="Arial" w:hAnsi="Arial" w:cs="Arial"/>
          <w:color w:val="000000"/>
          <w:sz w:val="20"/>
          <w:szCs w:val="20"/>
        </w:rPr>
        <w:t xml:space="preserve"> </w:t>
      </w:r>
      <w:proofErr w:type="spellStart"/>
      <w:r w:rsidRPr="008D4853">
        <w:rPr>
          <w:rFonts w:ascii="Arial" w:hAnsi="Arial" w:cs="Arial"/>
          <w:color w:val="000000"/>
          <w:sz w:val="20"/>
          <w:szCs w:val="20"/>
          <w:shd w:val="clear" w:color="auto" w:fill="FFFFFF"/>
        </w:rPr>
        <w:t>Scientific</w:t>
      </w:r>
      <w:proofErr w:type="spellEnd"/>
      <w:r w:rsidRPr="008D4853">
        <w:rPr>
          <w:rFonts w:ascii="Arial" w:hAnsi="Arial" w:cs="Arial"/>
          <w:color w:val="000000"/>
          <w:sz w:val="20"/>
          <w:szCs w:val="20"/>
          <w:shd w:val="clear" w:color="auto" w:fill="FFFFFF"/>
        </w:rPr>
        <w:t xml:space="preserve"> </w:t>
      </w:r>
      <w:proofErr w:type="spellStart"/>
      <w:r w:rsidRPr="008D4853">
        <w:rPr>
          <w:rFonts w:ascii="Arial" w:hAnsi="Arial" w:cs="Arial"/>
          <w:color w:val="000000"/>
          <w:sz w:val="20"/>
          <w:szCs w:val="20"/>
          <w:shd w:val="clear" w:color="auto" w:fill="FFFFFF"/>
        </w:rPr>
        <w:t>Reports</w:t>
      </w:r>
      <w:proofErr w:type="spellEnd"/>
      <w:r w:rsidRPr="008D4853">
        <w:rPr>
          <w:rFonts w:ascii="Arial" w:hAnsi="Arial" w:cs="Arial"/>
          <w:color w:val="000000"/>
          <w:sz w:val="20"/>
          <w:szCs w:val="20"/>
          <w:shd w:val="clear" w:color="auto" w:fill="FFFFFF"/>
        </w:rPr>
        <w:t xml:space="preserve"> 2018 </w:t>
      </w:r>
      <w:proofErr w:type="spellStart"/>
      <w:r w:rsidRPr="008D4853">
        <w:rPr>
          <w:rFonts w:ascii="Arial" w:hAnsi="Arial" w:cs="Arial"/>
          <w:color w:val="000000"/>
          <w:sz w:val="20"/>
          <w:szCs w:val="20"/>
          <w:shd w:val="clear" w:color="auto" w:fill="FFFFFF"/>
        </w:rPr>
        <w:t>Sep</w:t>
      </w:r>
      <w:proofErr w:type="spellEnd"/>
      <w:r w:rsidRPr="008D4853">
        <w:rPr>
          <w:rFonts w:ascii="Arial" w:hAnsi="Arial" w:cs="Arial"/>
          <w:color w:val="000000"/>
          <w:sz w:val="20"/>
          <w:szCs w:val="20"/>
          <w:shd w:val="clear" w:color="auto" w:fill="FFFFFF"/>
        </w:rPr>
        <w:t xml:space="preserve"> 17; 8(1):13933.</w:t>
      </w:r>
    </w:p>
    <w:p w14:paraId="4999604C" w14:textId="77777777" w:rsidR="007D47C6" w:rsidRPr="008D4853" w:rsidRDefault="007D47C6" w:rsidP="007D47C6">
      <w:pPr>
        <w:rPr>
          <w:rFonts w:ascii="Arial" w:eastAsia="Times New Roman" w:hAnsi="Arial" w:cs="Arial"/>
          <w:sz w:val="20"/>
          <w:szCs w:val="20"/>
        </w:rPr>
      </w:pPr>
      <w:r w:rsidRPr="008D4853">
        <w:rPr>
          <w:rFonts w:ascii="Arial" w:eastAsia="Times New Roman" w:hAnsi="Arial" w:cs="Arial"/>
          <w:sz w:val="20"/>
          <w:szCs w:val="20"/>
        </w:rPr>
        <w:br/>
      </w:r>
      <w:r w:rsidRPr="008D4853">
        <w:rPr>
          <w:rFonts w:ascii="Arial" w:eastAsia="Times New Roman" w:hAnsi="Arial" w:cs="Arial"/>
          <w:sz w:val="20"/>
          <w:szCs w:val="20"/>
        </w:rPr>
        <w:br/>
      </w:r>
      <w:hyperlink r:id="rId5" w:history="1">
        <w:r w:rsidRPr="008D4853">
          <w:rPr>
            <w:rStyle w:val="Hiperligao"/>
            <w:rFonts w:ascii="Arial" w:eastAsia="Times New Roman" w:hAnsi="Arial" w:cs="Arial"/>
            <w:sz w:val="20"/>
            <w:szCs w:val="20"/>
          </w:rPr>
          <w:t>Autorização.pdf</w:t>
        </w:r>
      </w:hyperlink>
      <w:r w:rsidRPr="008D4853">
        <w:rPr>
          <w:rFonts w:ascii="Arial" w:eastAsia="Times New Roman" w:hAnsi="Arial" w:cs="Arial"/>
          <w:sz w:val="20"/>
          <w:szCs w:val="20"/>
        </w:rPr>
        <w:br/>
      </w:r>
      <w:r w:rsidRPr="008D4853">
        <w:rPr>
          <w:rFonts w:ascii="Arial" w:hAnsi="Arial" w:cs="Arial"/>
          <w:noProof/>
          <w:sz w:val="20"/>
          <w:szCs w:val="20"/>
        </w:rPr>
        <w:drawing>
          <wp:inline distT="0" distB="0" distL="0" distR="0" wp14:anchorId="3043E217" wp14:editId="37455902">
            <wp:extent cx="2743200" cy="281940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2819400"/>
                    </a:xfrm>
                    <a:prstGeom prst="rect">
                      <a:avLst/>
                    </a:prstGeom>
                    <a:noFill/>
                    <a:ln>
                      <a:noFill/>
                    </a:ln>
                  </pic:spPr>
                </pic:pic>
              </a:graphicData>
            </a:graphic>
          </wp:inline>
        </w:drawing>
      </w:r>
    </w:p>
    <w:p w14:paraId="407E3CEF" w14:textId="0800A77F" w:rsidR="00FC35B8" w:rsidRPr="007D47C6" w:rsidRDefault="00FC35B8" w:rsidP="007D47C6"/>
    <w:sectPr w:rsidR="00FC35B8" w:rsidRPr="007D47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A36"/>
    <w:multiLevelType w:val="multilevel"/>
    <w:tmpl w:val="DD80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01385"/>
    <w:multiLevelType w:val="multilevel"/>
    <w:tmpl w:val="3424D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669306">
    <w:abstractNumId w:val="0"/>
  </w:num>
  <w:num w:numId="2" w16cid:durableId="770324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1"/>
    <w:rsid w:val="000D1133"/>
    <w:rsid w:val="001B6790"/>
    <w:rsid w:val="001C61FC"/>
    <w:rsid w:val="00416AB4"/>
    <w:rsid w:val="0051787D"/>
    <w:rsid w:val="00670F9D"/>
    <w:rsid w:val="00674711"/>
    <w:rsid w:val="007D47C6"/>
    <w:rsid w:val="00857D77"/>
    <w:rsid w:val="00BB1DFA"/>
    <w:rsid w:val="00C21AAC"/>
    <w:rsid w:val="00DC169D"/>
    <w:rsid w:val="00E95347"/>
    <w:rsid w:val="00ED0C35"/>
    <w:rsid w:val="00FC35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DAB8"/>
  <w15:chartTrackingRefBased/>
  <w15:docId w15:val="{76A79111-DD88-4EC4-9429-17E65B51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11"/>
    <w:pPr>
      <w:spacing w:after="0" w:line="240" w:lineRule="auto"/>
    </w:pPr>
    <w:rPr>
      <w:rFonts w:ascii="Times New Roman" w:eastAsiaTheme="minorEastAsia" w:hAnsi="Times New Roman" w:cs="Times New Roman"/>
      <w:kern w:val="0"/>
      <w:sz w:val="24"/>
      <w:szCs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74711"/>
    <w:pPr>
      <w:spacing w:before="100" w:beforeAutospacing="1" w:after="100" w:afterAutospacing="1"/>
    </w:pPr>
  </w:style>
  <w:style w:type="character" w:styleId="Forte">
    <w:name w:val="Strong"/>
    <w:basedOn w:val="Tipodeletrapredefinidodopargrafo"/>
    <w:uiPriority w:val="22"/>
    <w:qFormat/>
    <w:rsid w:val="00674711"/>
    <w:rPr>
      <w:b/>
      <w:bCs/>
    </w:rPr>
  </w:style>
  <w:style w:type="character" w:styleId="nfase">
    <w:name w:val="Emphasis"/>
    <w:basedOn w:val="Tipodeletrapredefinidodopargrafo"/>
    <w:uiPriority w:val="20"/>
    <w:qFormat/>
    <w:rsid w:val="00674711"/>
    <w:rPr>
      <w:i/>
      <w:iCs/>
    </w:rPr>
  </w:style>
  <w:style w:type="character" w:styleId="Hiperligao">
    <w:name w:val="Hyperlink"/>
    <w:basedOn w:val="Tipodeletrapredefinidodopargrafo"/>
    <w:uiPriority w:val="99"/>
    <w:semiHidden/>
    <w:unhideWhenUsed/>
    <w:rsid w:val="00C21A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file:///C:\Docs\Abstracts\751\86\db383e1b-66d9-411d-a853-90ec9f793fc5.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2978</Characters>
  <Application>Microsoft Office Word</Application>
  <DocSecurity>0</DocSecurity>
  <Lines>24</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Ferreira</dc:creator>
  <cp:keywords/>
  <dc:description/>
  <cp:lastModifiedBy>Raquel Ferreira</cp:lastModifiedBy>
  <cp:revision>2</cp:revision>
  <dcterms:created xsi:type="dcterms:W3CDTF">2023-03-15T15:00:00Z</dcterms:created>
  <dcterms:modified xsi:type="dcterms:W3CDTF">2023-03-15T15:00:00Z</dcterms:modified>
</cp:coreProperties>
</file>