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086B4" w14:textId="77777777" w:rsidR="006C4C08" w:rsidRPr="001A343E" w:rsidRDefault="006C4C08" w:rsidP="006C4C08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  <w:lang w:val="en-US"/>
        </w:rPr>
      </w:pPr>
      <w:r w:rsidRPr="001A343E">
        <w:rPr>
          <w:rStyle w:val="Forte"/>
          <w:rFonts w:ascii="Arial" w:hAnsi="Arial" w:cs="Arial"/>
          <w:sz w:val="20"/>
          <w:szCs w:val="20"/>
          <w:lang w:val="en-US"/>
        </w:rPr>
        <w:t xml:space="preserve">CO10   Anxiolytic </w:t>
      </w:r>
      <w:proofErr w:type="spellStart"/>
      <w:r w:rsidRPr="001A343E">
        <w:rPr>
          <w:rStyle w:val="Forte"/>
          <w:rFonts w:ascii="Arial" w:hAnsi="Arial" w:cs="Arial"/>
          <w:sz w:val="20"/>
          <w:szCs w:val="20"/>
          <w:lang w:val="en-US"/>
        </w:rPr>
        <w:t>preanaesthetic</w:t>
      </w:r>
      <w:proofErr w:type="spellEnd"/>
      <w:r w:rsidRPr="001A343E">
        <w:rPr>
          <w:rStyle w:val="Forte"/>
          <w:rFonts w:ascii="Arial" w:hAnsi="Arial" w:cs="Arial"/>
          <w:sz w:val="20"/>
          <w:szCs w:val="20"/>
          <w:lang w:val="en-US"/>
        </w:rPr>
        <w:t xml:space="preserve"> medication in Portugal: a survey of current practice</w:t>
      </w:r>
    </w:p>
    <w:p w14:paraId="0A9C9670" w14:textId="77777777" w:rsidR="006C4C08" w:rsidRPr="008D4853" w:rsidRDefault="006C4C08" w:rsidP="006C4C08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D4853">
        <w:rPr>
          <w:rStyle w:val="nfase"/>
          <w:rFonts w:ascii="Arial" w:hAnsi="Arial" w:cs="Arial"/>
          <w:sz w:val="20"/>
          <w:szCs w:val="20"/>
        </w:rPr>
        <w:t xml:space="preserve">Caroline </w:t>
      </w:r>
      <w:proofErr w:type="spellStart"/>
      <w:proofErr w:type="gramStart"/>
      <w:r w:rsidRPr="008D4853">
        <w:rPr>
          <w:rStyle w:val="nfase"/>
          <w:rFonts w:ascii="Arial" w:hAnsi="Arial" w:cs="Arial"/>
          <w:sz w:val="20"/>
          <w:szCs w:val="20"/>
        </w:rPr>
        <w:t>Dahlem</w:t>
      </w:r>
      <w:proofErr w:type="spellEnd"/>
      <w:r w:rsidRPr="008D4853">
        <w:rPr>
          <w:rStyle w:val="nfase"/>
          <w:rFonts w:ascii="Arial" w:hAnsi="Arial" w:cs="Arial"/>
          <w:sz w:val="20"/>
          <w:szCs w:val="20"/>
        </w:rPr>
        <w:t>(</w:t>
      </w:r>
      <w:proofErr w:type="gramEnd"/>
      <w:r w:rsidRPr="008D4853">
        <w:rPr>
          <w:rStyle w:val="nfase"/>
          <w:rFonts w:ascii="Arial" w:hAnsi="Arial" w:cs="Arial"/>
          <w:sz w:val="20"/>
          <w:szCs w:val="20"/>
        </w:rPr>
        <w:t>1); Beatriz Moreira(1); Carmen Oliveira(2); Luís Azevedo(3); Cristina Granja(4)</w:t>
      </w:r>
    </w:p>
    <w:p w14:paraId="34440182" w14:textId="77777777" w:rsidR="006C4C08" w:rsidRPr="008D4853" w:rsidRDefault="006C4C08" w:rsidP="006C4C08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D4853">
        <w:rPr>
          <w:rStyle w:val="nfase"/>
          <w:rFonts w:ascii="Arial" w:hAnsi="Arial" w:cs="Arial"/>
          <w:sz w:val="20"/>
          <w:szCs w:val="20"/>
        </w:rPr>
        <w:t xml:space="preserve">(1) Centro Hospitalar de Entre Douro e Vouga, EPE / Hospital de S. Sebastião (2) Centro Hospitalar Gaia Espinho (3) Faculdade de Medicina da Universidade do Porto (4) Centro Hospitalar de S. João, EPE </w:t>
      </w:r>
    </w:p>
    <w:p w14:paraId="2FFAA242" w14:textId="77777777" w:rsidR="006C4C08" w:rsidRPr="008D4853" w:rsidRDefault="006C4C08" w:rsidP="006C4C08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D4853">
        <w:rPr>
          <w:rFonts w:ascii="Arial" w:hAnsi="Arial" w:cs="Arial"/>
          <w:sz w:val="20"/>
          <w:szCs w:val="20"/>
        </w:rPr>
        <w:t> </w:t>
      </w:r>
    </w:p>
    <w:p w14:paraId="3D2F8323" w14:textId="77777777" w:rsidR="006C4C08" w:rsidRPr="001A343E" w:rsidRDefault="006C4C08" w:rsidP="006C4C08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  <w:lang w:val="en-US"/>
        </w:rPr>
      </w:pPr>
      <w:r w:rsidRPr="001A343E">
        <w:rPr>
          <w:rFonts w:ascii="Arial" w:hAnsi="Arial" w:cs="Arial"/>
          <w:sz w:val="20"/>
          <w:szCs w:val="20"/>
          <w:lang w:val="en-US"/>
        </w:rPr>
        <w:t>Background: Excessive preoperative anxiety is associated with increased postoperative complications,</w:t>
      </w:r>
      <w:r w:rsidRPr="001A343E">
        <w:rPr>
          <w:rFonts w:ascii="Arial" w:hAnsi="Arial" w:cs="Arial"/>
          <w:sz w:val="20"/>
          <w:szCs w:val="20"/>
          <w:vertAlign w:val="superscript"/>
          <w:lang w:val="en-US"/>
        </w:rPr>
        <w:t>1</w:t>
      </w:r>
      <w:r w:rsidRPr="001A343E">
        <w:rPr>
          <w:rFonts w:ascii="Arial" w:hAnsi="Arial" w:cs="Arial"/>
          <w:sz w:val="20"/>
          <w:szCs w:val="20"/>
          <w:lang w:val="en-US"/>
        </w:rPr>
        <w:t xml:space="preserve"> but there are no clear guidelines for preoperative anxiolysis. Anxiolytic </w:t>
      </w:r>
      <w:proofErr w:type="spellStart"/>
      <w:r w:rsidRPr="001A343E">
        <w:rPr>
          <w:rFonts w:ascii="Arial" w:hAnsi="Arial" w:cs="Arial"/>
          <w:sz w:val="20"/>
          <w:szCs w:val="20"/>
          <w:lang w:val="en-US"/>
        </w:rPr>
        <w:t>preanaesthetic</w:t>
      </w:r>
      <w:proofErr w:type="spellEnd"/>
      <w:r w:rsidRPr="001A343E">
        <w:rPr>
          <w:rFonts w:ascii="Arial" w:hAnsi="Arial" w:cs="Arial"/>
          <w:sz w:val="20"/>
          <w:szCs w:val="20"/>
          <w:lang w:val="en-US"/>
        </w:rPr>
        <w:t xml:space="preserve"> medication with midazolam has been a common practice for the last decades,</w:t>
      </w:r>
      <w:r w:rsidRPr="001A343E">
        <w:rPr>
          <w:rFonts w:ascii="Arial" w:hAnsi="Arial" w:cs="Arial"/>
          <w:sz w:val="20"/>
          <w:szCs w:val="20"/>
          <w:vertAlign w:val="superscript"/>
          <w:lang w:val="en-US"/>
        </w:rPr>
        <w:t>2</w:t>
      </w:r>
      <w:r w:rsidRPr="001A343E">
        <w:rPr>
          <w:rFonts w:ascii="Arial" w:hAnsi="Arial" w:cs="Arial"/>
          <w:sz w:val="20"/>
          <w:szCs w:val="20"/>
          <w:lang w:val="en-US"/>
        </w:rPr>
        <w:t xml:space="preserve"> but </w:t>
      </w:r>
      <w:proofErr w:type="spellStart"/>
      <w:r w:rsidRPr="001A343E">
        <w:rPr>
          <w:rFonts w:ascii="Arial" w:hAnsi="Arial" w:cs="Arial"/>
          <w:sz w:val="20"/>
          <w:szCs w:val="20"/>
          <w:lang w:val="en-US"/>
        </w:rPr>
        <w:t>portuguese</w:t>
      </w:r>
      <w:proofErr w:type="spellEnd"/>
      <w:r w:rsidRPr="001A343E">
        <w:rPr>
          <w:rFonts w:ascii="Arial" w:hAnsi="Arial" w:cs="Arial"/>
          <w:sz w:val="20"/>
          <w:szCs w:val="20"/>
          <w:lang w:val="en-US"/>
        </w:rPr>
        <w:t xml:space="preserve"> data are unknown. We aim to evaluate the present practice of preoperative anxiety assessment and sedative-anxiolytic medication in Portugal and the role of midazolam in modern practice.</w:t>
      </w:r>
    </w:p>
    <w:p w14:paraId="62C6A24A" w14:textId="77777777" w:rsidR="006C4C08" w:rsidRPr="001A343E" w:rsidRDefault="006C4C08" w:rsidP="006C4C08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  <w:lang w:val="en-US"/>
        </w:rPr>
      </w:pPr>
      <w:r w:rsidRPr="001A343E">
        <w:rPr>
          <w:rFonts w:ascii="Arial" w:hAnsi="Arial" w:cs="Arial"/>
          <w:sz w:val="20"/>
          <w:szCs w:val="20"/>
          <w:lang w:val="en-US"/>
        </w:rPr>
        <w:t xml:space="preserve">Methods: A cross-sectional online survey of </w:t>
      </w:r>
      <w:proofErr w:type="spellStart"/>
      <w:r w:rsidRPr="001A343E">
        <w:rPr>
          <w:rFonts w:ascii="Arial" w:hAnsi="Arial" w:cs="Arial"/>
          <w:sz w:val="20"/>
          <w:szCs w:val="20"/>
          <w:lang w:val="en-US"/>
        </w:rPr>
        <w:t>portuguese</w:t>
      </w:r>
      <w:proofErr w:type="spellEnd"/>
      <w:r w:rsidRPr="001A343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A343E">
        <w:rPr>
          <w:rFonts w:ascii="Arial" w:hAnsi="Arial" w:cs="Arial"/>
          <w:sz w:val="20"/>
          <w:szCs w:val="20"/>
          <w:lang w:val="en-US"/>
        </w:rPr>
        <w:t>anaesthesiologists</w:t>
      </w:r>
      <w:proofErr w:type="spellEnd"/>
      <w:r w:rsidRPr="001A343E">
        <w:rPr>
          <w:rFonts w:ascii="Arial" w:hAnsi="Arial" w:cs="Arial"/>
          <w:sz w:val="20"/>
          <w:szCs w:val="20"/>
          <w:lang w:val="en-US"/>
        </w:rPr>
        <w:t xml:space="preserve"> regarding their current anxiolytic premedication practice was available between 14th July and 17th October 2022. Links were sent to all </w:t>
      </w:r>
      <w:proofErr w:type="spellStart"/>
      <w:r w:rsidRPr="001A343E">
        <w:rPr>
          <w:rFonts w:ascii="Arial" w:hAnsi="Arial" w:cs="Arial"/>
          <w:sz w:val="20"/>
          <w:szCs w:val="20"/>
          <w:lang w:val="en-US"/>
        </w:rPr>
        <w:t>anaesthesiology</w:t>
      </w:r>
      <w:proofErr w:type="spellEnd"/>
      <w:r w:rsidRPr="001A343E">
        <w:rPr>
          <w:rFonts w:ascii="Arial" w:hAnsi="Arial" w:cs="Arial"/>
          <w:sz w:val="20"/>
          <w:szCs w:val="20"/>
          <w:lang w:val="en-US"/>
        </w:rPr>
        <w:t xml:space="preserve"> departments in the country. The survey included 9 sections with 37 multiple choice questions. Statistical analyses were performed using IBM®</w:t>
      </w:r>
    </w:p>
    <w:p w14:paraId="794CE325" w14:textId="77777777" w:rsidR="006C4C08" w:rsidRPr="001A343E" w:rsidRDefault="006C4C08" w:rsidP="006C4C08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  <w:lang w:val="en-US"/>
        </w:rPr>
      </w:pPr>
      <w:r w:rsidRPr="001A343E">
        <w:rPr>
          <w:rFonts w:ascii="Arial" w:hAnsi="Arial" w:cs="Arial"/>
          <w:sz w:val="20"/>
          <w:szCs w:val="20"/>
          <w:lang w:val="en-US"/>
        </w:rPr>
        <w:t>SPSS® (version 26), data presented as n (%) or mean ± SD, and groups compared using Chi-square test, T-test or one-way ANOVA.</w:t>
      </w:r>
    </w:p>
    <w:p w14:paraId="15B302B9" w14:textId="77777777" w:rsidR="006C4C08" w:rsidRPr="001A343E" w:rsidRDefault="006C4C08" w:rsidP="006C4C08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  <w:lang w:val="en-US"/>
        </w:rPr>
      </w:pPr>
      <w:r w:rsidRPr="001A343E">
        <w:rPr>
          <w:rFonts w:ascii="Arial" w:hAnsi="Arial" w:cs="Arial"/>
          <w:sz w:val="20"/>
          <w:szCs w:val="20"/>
          <w:lang w:val="en-US"/>
        </w:rPr>
        <w:t xml:space="preserve">Results: We </w:t>
      </w:r>
      <w:proofErr w:type="spellStart"/>
      <w:r w:rsidRPr="001A343E">
        <w:rPr>
          <w:rFonts w:ascii="Arial" w:hAnsi="Arial" w:cs="Arial"/>
          <w:sz w:val="20"/>
          <w:szCs w:val="20"/>
          <w:lang w:val="en-US"/>
        </w:rPr>
        <w:t>analysed</w:t>
      </w:r>
      <w:proofErr w:type="spellEnd"/>
      <w:r w:rsidRPr="001A343E">
        <w:rPr>
          <w:rFonts w:ascii="Arial" w:hAnsi="Arial" w:cs="Arial"/>
          <w:sz w:val="20"/>
          <w:szCs w:val="20"/>
          <w:lang w:val="en-US"/>
        </w:rPr>
        <w:t xml:space="preserve"> 297 questionnaires (response rate of 16%); mean age of respondents was 41 ± 11 years, 204 (69%) were women, working mostly in public hospitals. Most respondents do not objectively evaluate anxiety but report to adjust medication to patient anxiety level. Globally, only 9 (3%) respondents report to never use premedication in any setting, and 42 (14%) to never use midazolam; 138 (46%) use non-pharmacologic strategies to manage anxiety. Besides providing information, the most common non-pharmacologic strategies are cognitive behavioral therapy, using videos or games, and music therapy. Among the prescribers, 186 (79%) report that midazolam is the preferred drug in the outpatient setting, 165 (59%) in the inpatient setting and 151 (84%) in the </w:t>
      </w:r>
      <w:proofErr w:type="spellStart"/>
      <w:r w:rsidRPr="001A343E">
        <w:rPr>
          <w:rFonts w:ascii="Arial" w:hAnsi="Arial" w:cs="Arial"/>
          <w:sz w:val="20"/>
          <w:szCs w:val="20"/>
          <w:lang w:val="en-US"/>
        </w:rPr>
        <w:t>paediatric</w:t>
      </w:r>
      <w:proofErr w:type="spellEnd"/>
      <w:r w:rsidRPr="001A343E">
        <w:rPr>
          <w:rFonts w:ascii="Arial" w:hAnsi="Arial" w:cs="Arial"/>
          <w:sz w:val="20"/>
          <w:szCs w:val="20"/>
          <w:lang w:val="en-US"/>
        </w:rPr>
        <w:t xml:space="preserve"> setting; second most used drugs are other benzodiazepines, and we found significant regional differences. Most </w:t>
      </w:r>
      <w:proofErr w:type="spellStart"/>
      <w:r w:rsidRPr="001A343E">
        <w:rPr>
          <w:rFonts w:ascii="Arial" w:hAnsi="Arial" w:cs="Arial"/>
          <w:sz w:val="20"/>
          <w:szCs w:val="20"/>
          <w:lang w:val="en-US"/>
        </w:rPr>
        <w:t>anaesthesiologists</w:t>
      </w:r>
      <w:proofErr w:type="spellEnd"/>
      <w:r w:rsidRPr="001A343E">
        <w:rPr>
          <w:rFonts w:ascii="Arial" w:hAnsi="Arial" w:cs="Arial"/>
          <w:sz w:val="20"/>
          <w:szCs w:val="20"/>
          <w:lang w:val="en-US"/>
        </w:rPr>
        <w:t xml:space="preserve"> premedicate adult patients in the holding area through an intravenous route or orally the night before; and </w:t>
      </w:r>
      <w:proofErr w:type="spellStart"/>
      <w:r w:rsidRPr="001A343E">
        <w:rPr>
          <w:rFonts w:ascii="Arial" w:hAnsi="Arial" w:cs="Arial"/>
          <w:sz w:val="20"/>
          <w:szCs w:val="20"/>
          <w:lang w:val="en-US"/>
        </w:rPr>
        <w:t>paediatric</w:t>
      </w:r>
      <w:proofErr w:type="spellEnd"/>
      <w:r w:rsidRPr="001A343E">
        <w:rPr>
          <w:rFonts w:ascii="Arial" w:hAnsi="Arial" w:cs="Arial"/>
          <w:sz w:val="20"/>
          <w:szCs w:val="20"/>
          <w:lang w:val="en-US"/>
        </w:rPr>
        <w:t xml:space="preserve"> patients orally in the ward. Only 42 (14%) report to have anxiolytic premedication protocols in their department for ambulatory surgery, 58 (20%) for inpatient surgery and 70 (24%) for </w:t>
      </w:r>
      <w:proofErr w:type="spellStart"/>
      <w:r w:rsidRPr="001A343E">
        <w:rPr>
          <w:rFonts w:ascii="Arial" w:hAnsi="Arial" w:cs="Arial"/>
          <w:sz w:val="20"/>
          <w:szCs w:val="20"/>
          <w:lang w:val="en-US"/>
        </w:rPr>
        <w:t>paediatric</w:t>
      </w:r>
      <w:proofErr w:type="spellEnd"/>
      <w:r w:rsidRPr="001A343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A343E">
        <w:rPr>
          <w:rFonts w:ascii="Arial" w:hAnsi="Arial" w:cs="Arial"/>
          <w:sz w:val="20"/>
          <w:szCs w:val="20"/>
          <w:lang w:val="en-US"/>
        </w:rPr>
        <w:t>anaesthesia</w:t>
      </w:r>
      <w:proofErr w:type="spellEnd"/>
      <w:r w:rsidRPr="001A343E">
        <w:rPr>
          <w:rFonts w:ascii="Arial" w:hAnsi="Arial" w:cs="Arial"/>
          <w:sz w:val="20"/>
          <w:szCs w:val="20"/>
          <w:lang w:val="en-US"/>
        </w:rPr>
        <w:t>. 202 respondents (68%) do not have or are not aware of any anxiolytic premedication protocol in their department. Midazolam is the most common protocol drug in all settings.</w:t>
      </w:r>
    </w:p>
    <w:p w14:paraId="0F7C257D" w14:textId="77777777" w:rsidR="006C4C08" w:rsidRPr="001A343E" w:rsidRDefault="006C4C08" w:rsidP="006C4C08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  <w:lang w:val="en-US"/>
        </w:rPr>
      </w:pPr>
      <w:r w:rsidRPr="001A343E">
        <w:rPr>
          <w:rFonts w:ascii="Arial" w:hAnsi="Arial" w:cs="Arial"/>
          <w:sz w:val="20"/>
          <w:szCs w:val="20"/>
          <w:lang w:val="en-US"/>
        </w:rPr>
        <w:t xml:space="preserve">Conclusions: Midazolam remains the most used anxiolytic </w:t>
      </w:r>
      <w:proofErr w:type="spellStart"/>
      <w:r w:rsidRPr="001A343E">
        <w:rPr>
          <w:rFonts w:ascii="Arial" w:hAnsi="Arial" w:cs="Arial"/>
          <w:sz w:val="20"/>
          <w:szCs w:val="20"/>
          <w:lang w:val="en-US"/>
        </w:rPr>
        <w:t>preanaesthetic</w:t>
      </w:r>
      <w:proofErr w:type="spellEnd"/>
      <w:r w:rsidRPr="001A343E">
        <w:rPr>
          <w:rFonts w:ascii="Arial" w:hAnsi="Arial" w:cs="Arial"/>
          <w:sz w:val="20"/>
          <w:szCs w:val="20"/>
          <w:lang w:val="en-US"/>
        </w:rPr>
        <w:t xml:space="preserve"> medication among </w:t>
      </w:r>
      <w:proofErr w:type="spellStart"/>
      <w:r w:rsidRPr="001A343E">
        <w:rPr>
          <w:rFonts w:ascii="Arial" w:hAnsi="Arial" w:cs="Arial"/>
          <w:sz w:val="20"/>
          <w:szCs w:val="20"/>
          <w:lang w:val="en-US"/>
        </w:rPr>
        <w:t>portuguese</w:t>
      </w:r>
      <w:proofErr w:type="spellEnd"/>
      <w:r w:rsidRPr="001A343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A343E">
        <w:rPr>
          <w:rFonts w:ascii="Arial" w:hAnsi="Arial" w:cs="Arial"/>
          <w:sz w:val="20"/>
          <w:szCs w:val="20"/>
          <w:lang w:val="en-US"/>
        </w:rPr>
        <w:t>anaesthesiologists</w:t>
      </w:r>
      <w:proofErr w:type="spellEnd"/>
      <w:r w:rsidRPr="001A343E">
        <w:rPr>
          <w:rFonts w:ascii="Arial" w:hAnsi="Arial" w:cs="Arial"/>
          <w:sz w:val="20"/>
          <w:szCs w:val="20"/>
          <w:lang w:val="en-US"/>
        </w:rPr>
        <w:t xml:space="preserve"> in all operative settings, although there are regional differences and only a minority of </w:t>
      </w:r>
      <w:proofErr w:type="spellStart"/>
      <w:r w:rsidRPr="001A343E">
        <w:rPr>
          <w:rFonts w:ascii="Arial" w:hAnsi="Arial" w:cs="Arial"/>
          <w:sz w:val="20"/>
          <w:szCs w:val="20"/>
          <w:lang w:val="en-US"/>
        </w:rPr>
        <w:t>anaesthetists</w:t>
      </w:r>
      <w:proofErr w:type="spellEnd"/>
      <w:r w:rsidRPr="001A343E">
        <w:rPr>
          <w:rFonts w:ascii="Arial" w:hAnsi="Arial" w:cs="Arial"/>
          <w:sz w:val="20"/>
          <w:szCs w:val="20"/>
          <w:lang w:val="en-US"/>
        </w:rPr>
        <w:t xml:space="preserve"> routinely perform an objective and standardized evaluation of anxiety. Most respondents are not aware of protocols in their departments. We recommend that </w:t>
      </w:r>
      <w:proofErr w:type="spellStart"/>
      <w:r w:rsidRPr="001A343E">
        <w:rPr>
          <w:rFonts w:ascii="Arial" w:hAnsi="Arial" w:cs="Arial"/>
          <w:sz w:val="20"/>
          <w:szCs w:val="20"/>
          <w:lang w:val="en-US"/>
        </w:rPr>
        <w:t>anaesthesiology</w:t>
      </w:r>
      <w:proofErr w:type="spellEnd"/>
      <w:r w:rsidRPr="001A343E">
        <w:rPr>
          <w:rFonts w:ascii="Arial" w:hAnsi="Arial" w:cs="Arial"/>
          <w:sz w:val="20"/>
          <w:szCs w:val="20"/>
          <w:lang w:val="en-US"/>
        </w:rPr>
        <w:t xml:space="preserve"> societies develop clear guidelines about the evaluation, registry and management of preoperative anxiety, proposing a short quantitative anxiety scale and recommendations about both non-pharmacologic and premedication strategies.</w:t>
      </w:r>
    </w:p>
    <w:p w14:paraId="28B6DB51" w14:textId="77777777" w:rsidR="006C4C08" w:rsidRPr="001A343E" w:rsidRDefault="006C4C08" w:rsidP="006C4C08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  <w:lang w:val="en-US"/>
        </w:rPr>
      </w:pPr>
      <w:r w:rsidRPr="001A343E">
        <w:rPr>
          <w:rFonts w:ascii="Arial" w:hAnsi="Arial" w:cs="Arial"/>
          <w:sz w:val="20"/>
          <w:szCs w:val="20"/>
          <w:lang w:val="en-US"/>
        </w:rPr>
        <w:t xml:space="preserve">1.Curr </w:t>
      </w:r>
      <w:proofErr w:type="spellStart"/>
      <w:r w:rsidRPr="001A343E">
        <w:rPr>
          <w:rFonts w:ascii="Arial" w:hAnsi="Arial" w:cs="Arial"/>
          <w:sz w:val="20"/>
          <w:szCs w:val="20"/>
          <w:lang w:val="en-US"/>
        </w:rPr>
        <w:t>Opin</w:t>
      </w:r>
      <w:proofErr w:type="spellEnd"/>
      <w:r w:rsidRPr="001A343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A343E">
        <w:rPr>
          <w:rFonts w:ascii="Arial" w:hAnsi="Arial" w:cs="Arial"/>
          <w:sz w:val="20"/>
          <w:szCs w:val="20"/>
          <w:lang w:val="en-US"/>
        </w:rPr>
        <w:t>Anaesthesiol</w:t>
      </w:r>
      <w:proofErr w:type="spellEnd"/>
      <w:r w:rsidRPr="001A343E">
        <w:rPr>
          <w:rFonts w:ascii="Arial" w:hAnsi="Arial" w:cs="Arial"/>
          <w:sz w:val="20"/>
          <w:szCs w:val="20"/>
          <w:lang w:val="en-US"/>
        </w:rPr>
        <w:t>. 2022; 35: 674-8.</w:t>
      </w:r>
    </w:p>
    <w:p w14:paraId="0A088107" w14:textId="77777777" w:rsidR="006C4C08" w:rsidRPr="008D4853" w:rsidRDefault="006C4C08" w:rsidP="006C4C08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1A343E">
        <w:rPr>
          <w:rFonts w:ascii="Arial" w:hAnsi="Arial" w:cs="Arial"/>
          <w:sz w:val="20"/>
          <w:szCs w:val="20"/>
          <w:lang w:val="en-US"/>
        </w:rPr>
        <w:t xml:space="preserve">2. </w:t>
      </w:r>
      <w:proofErr w:type="spellStart"/>
      <w:r w:rsidRPr="001A343E">
        <w:rPr>
          <w:rFonts w:ascii="Arial" w:hAnsi="Arial" w:cs="Arial"/>
          <w:sz w:val="20"/>
          <w:szCs w:val="20"/>
          <w:lang w:val="en-US"/>
        </w:rPr>
        <w:t>Anesth</w:t>
      </w:r>
      <w:proofErr w:type="spellEnd"/>
      <w:r w:rsidRPr="001A343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A343E">
        <w:rPr>
          <w:rFonts w:ascii="Arial" w:hAnsi="Arial" w:cs="Arial"/>
          <w:sz w:val="20"/>
          <w:szCs w:val="20"/>
          <w:lang w:val="en-US"/>
        </w:rPr>
        <w:t>Analg</w:t>
      </w:r>
      <w:proofErr w:type="spellEnd"/>
      <w:r w:rsidRPr="001A343E">
        <w:rPr>
          <w:rFonts w:ascii="Arial" w:hAnsi="Arial" w:cs="Arial"/>
          <w:sz w:val="20"/>
          <w:szCs w:val="20"/>
          <w:lang w:val="en-US"/>
        </w:rPr>
        <w:t>. </w:t>
      </w:r>
      <w:r w:rsidRPr="008D4853">
        <w:rPr>
          <w:rFonts w:ascii="Arial" w:hAnsi="Arial" w:cs="Arial"/>
          <w:sz w:val="20"/>
          <w:szCs w:val="20"/>
        </w:rPr>
        <w:t>1997; 84: 427-32.</w:t>
      </w:r>
      <w:r w:rsidRPr="008D4853">
        <w:rPr>
          <w:rFonts w:ascii="Arial" w:hAnsi="Arial" w:cs="Arial"/>
          <w:sz w:val="20"/>
          <w:szCs w:val="20"/>
        </w:rPr>
        <w:br/>
        <w:t> </w:t>
      </w:r>
    </w:p>
    <w:p w14:paraId="407E3CEF" w14:textId="1B569410" w:rsidR="00FC35B8" w:rsidRPr="006C4C08" w:rsidRDefault="006C4C08" w:rsidP="007D47C6">
      <w:pPr>
        <w:rPr>
          <w:rFonts w:ascii="Arial" w:hAnsi="Arial" w:cs="Arial"/>
          <w:noProof/>
          <w:sz w:val="20"/>
          <w:szCs w:val="20"/>
        </w:rPr>
      </w:pPr>
      <w:r w:rsidRPr="008D4853">
        <w:rPr>
          <w:rFonts w:ascii="Arial" w:eastAsia="Times New Roman" w:hAnsi="Arial" w:cs="Arial"/>
          <w:sz w:val="20"/>
          <w:szCs w:val="20"/>
        </w:rPr>
        <w:br/>
      </w:r>
      <w:r w:rsidRPr="008D4853">
        <w:rPr>
          <w:rFonts w:ascii="Arial" w:eastAsia="Times New Roman" w:hAnsi="Arial" w:cs="Arial"/>
          <w:sz w:val="20"/>
          <w:szCs w:val="20"/>
        </w:rPr>
        <w:br/>
      </w:r>
      <w:r w:rsidRPr="008D4853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 wp14:anchorId="6A0013DD" wp14:editId="2007044A">
            <wp:extent cx="5715000" cy="8305800"/>
            <wp:effectExtent l="0" t="0" r="0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30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4853">
        <w:rPr>
          <w:rFonts w:ascii="Arial" w:eastAsia="Times New Roman" w:hAnsi="Arial" w:cs="Arial"/>
          <w:sz w:val="20"/>
          <w:szCs w:val="20"/>
        </w:rPr>
        <w:br/>
      </w:r>
    </w:p>
    <w:sectPr w:rsidR="00FC35B8" w:rsidRPr="006C4C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26A36"/>
    <w:multiLevelType w:val="multilevel"/>
    <w:tmpl w:val="DD800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101385"/>
    <w:multiLevelType w:val="multilevel"/>
    <w:tmpl w:val="3424D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48669306">
    <w:abstractNumId w:val="0"/>
  </w:num>
  <w:num w:numId="2" w16cid:durableId="7703243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711"/>
    <w:rsid w:val="000D1133"/>
    <w:rsid w:val="001B6790"/>
    <w:rsid w:val="001C61FC"/>
    <w:rsid w:val="00416AB4"/>
    <w:rsid w:val="0051787D"/>
    <w:rsid w:val="00670F9D"/>
    <w:rsid w:val="00674711"/>
    <w:rsid w:val="006C4C08"/>
    <w:rsid w:val="007D47C6"/>
    <w:rsid w:val="00857D77"/>
    <w:rsid w:val="00BB1DFA"/>
    <w:rsid w:val="00C21AAC"/>
    <w:rsid w:val="00CA641B"/>
    <w:rsid w:val="00DC169D"/>
    <w:rsid w:val="00E95347"/>
    <w:rsid w:val="00ED0C35"/>
    <w:rsid w:val="00FC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7DAB8"/>
  <w15:chartTrackingRefBased/>
  <w15:docId w15:val="{76A79111-DD88-4EC4-9429-17E65B513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4711"/>
    <w:pPr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pt-PT"/>
      <w14:ligatures w14:val="non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4711"/>
    <w:pPr>
      <w:spacing w:before="100" w:beforeAutospacing="1" w:after="100" w:afterAutospacing="1"/>
    </w:pPr>
  </w:style>
  <w:style w:type="character" w:styleId="Forte">
    <w:name w:val="Strong"/>
    <w:basedOn w:val="Tipodeletrapredefinidodopargrafo"/>
    <w:uiPriority w:val="22"/>
    <w:qFormat/>
    <w:rsid w:val="00674711"/>
    <w:rPr>
      <w:b/>
      <w:bCs/>
    </w:rPr>
  </w:style>
  <w:style w:type="character" w:styleId="nfase">
    <w:name w:val="Emphasis"/>
    <w:basedOn w:val="Tipodeletrapredefinidodopargrafo"/>
    <w:uiPriority w:val="20"/>
    <w:qFormat/>
    <w:rsid w:val="00674711"/>
    <w:rPr>
      <w:i/>
      <w:iCs/>
    </w:rPr>
  </w:style>
  <w:style w:type="character" w:styleId="Hiperligao">
    <w:name w:val="Hyperlink"/>
    <w:basedOn w:val="Tipodeletrapredefinidodopargrafo"/>
    <w:uiPriority w:val="99"/>
    <w:semiHidden/>
    <w:unhideWhenUsed/>
    <w:rsid w:val="00C21A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2927</Characters>
  <Application>Microsoft Office Word</Application>
  <DocSecurity>0</DocSecurity>
  <Lines>24</Lines>
  <Paragraphs>6</Paragraphs>
  <ScaleCrop>false</ScaleCrop>
  <Company/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Ferreira</dc:creator>
  <cp:keywords/>
  <dc:description/>
  <cp:lastModifiedBy>Raquel Ferreira</cp:lastModifiedBy>
  <cp:revision>2</cp:revision>
  <dcterms:created xsi:type="dcterms:W3CDTF">2023-03-15T15:02:00Z</dcterms:created>
  <dcterms:modified xsi:type="dcterms:W3CDTF">2023-03-15T15:02:00Z</dcterms:modified>
</cp:coreProperties>
</file>