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7DD6" w14:textId="77777777" w:rsidR="00EC1DCB" w:rsidRPr="008D4853" w:rsidRDefault="00EC1DCB" w:rsidP="00EC1D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>PO</w:t>
      </w:r>
      <w:r w:rsidRPr="008D4853">
        <w:rPr>
          <w:rStyle w:val="Forte"/>
          <w:rFonts w:ascii="Arial" w:hAnsi="Arial" w:cs="Arial"/>
          <w:sz w:val="20"/>
          <w:szCs w:val="20"/>
        </w:rPr>
        <w:t>01   "</w:t>
      </w:r>
      <w:proofErr w:type="spellStart"/>
      <w:r w:rsidRPr="008D4853">
        <w:rPr>
          <w:rStyle w:val="Forte"/>
          <w:rFonts w:ascii="Arial" w:hAnsi="Arial" w:cs="Arial"/>
          <w:sz w:val="20"/>
          <w:szCs w:val="20"/>
        </w:rPr>
        <w:t>Ketodex</w:t>
      </w:r>
      <w:proofErr w:type="spellEnd"/>
      <w:r w:rsidRPr="008D4853">
        <w:rPr>
          <w:rStyle w:val="Forte"/>
          <w:rFonts w:ascii="Arial" w:hAnsi="Arial" w:cs="Arial"/>
          <w:sz w:val="20"/>
          <w:szCs w:val="20"/>
        </w:rPr>
        <w:t>" na VAD pediátrica</w:t>
      </w:r>
    </w:p>
    <w:p w14:paraId="70342AD8" w14:textId="77777777" w:rsidR="00EC1DCB" w:rsidRPr="008D4853" w:rsidRDefault="00EC1DCB" w:rsidP="00EC1D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nfase"/>
          <w:rFonts w:ascii="Arial" w:hAnsi="Arial" w:cs="Arial"/>
          <w:sz w:val="20"/>
          <w:szCs w:val="20"/>
        </w:rPr>
        <w:t xml:space="preserve">André Alves Dos </w:t>
      </w:r>
      <w:proofErr w:type="gramStart"/>
      <w:r w:rsidRPr="008D4853">
        <w:rPr>
          <w:rStyle w:val="nfase"/>
          <w:rFonts w:ascii="Arial" w:hAnsi="Arial" w:cs="Arial"/>
          <w:sz w:val="20"/>
          <w:szCs w:val="20"/>
        </w:rPr>
        <w:t>Santos(</w:t>
      </w:r>
      <w:proofErr w:type="gramEnd"/>
      <w:r w:rsidRPr="008D4853">
        <w:rPr>
          <w:rStyle w:val="nfase"/>
          <w:rFonts w:ascii="Arial" w:hAnsi="Arial" w:cs="Arial"/>
          <w:sz w:val="20"/>
          <w:szCs w:val="20"/>
        </w:rPr>
        <w:t>1); Ana Margarida Ferreira(2)</w:t>
      </w:r>
    </w:p>
    <w:p w14:paraId="1C5C91D6" w14:textId="77777777" w:rsidR="00EC1DCB" w:rsidRPr="008D4853" w:rsidRDefault="00EC1DCB" w:rsidP="00EC1D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nfase"/>
          <w:rFonts w:ascii="Arial" w:hAnsi="Arial" w:cs="Arial"/>
          <w:sz w:val="20"/>
          <w:szCs w:val="20"/>
        </w:rPr>
        <w:t xml:space="preserve">(1) Centro Hospitalar de Lisboa Central, EPE / Hospital de Santa Marta (2) Hospital de Vila Franca de Xira </w:t>
      </w:r>
    </w:p>
    <w:p w14:paraId="265391D7" w14:textId="77777777" w:rsidR="00EC1DCB" w:rsidRPr="008D4853" w:rsidRDefault="00EC1DCB" w:rsidP="00EC1D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6F0EA970" w14:textId="77777777" w:rsidR="00EC1DCB" w:rsidRPr="008D4853" w:rsidRDefault="00EC1DCB" w:rsidP="00EC1D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 xml:space="preserve">INTRODUÇÃO: O trauma facial em pediatria é um desafio anestésico na abordagem da via aérea difícil (VAD) previsível. A </w:t>
      </w:r>
      <w:proofErr w:type="spellStart"/>
      <w:r w:rsidRPr="008D4853">
        <w:rPr>
          <w:rFonts w:ascii="Arial" w:hAnsi="Arial" w:cs="Arial"/>
          <w:sz w:val="20"/>
          <w:szCs w:val="20"/>
        </w:rPr>
        <w:t>fibroscopia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é útil nos procedimentos eletivos, com entubações nasais, mantendo a respiração espontânea. Na criança, é necessária sedação / anestesia geral e existem referências para fármacos como </w:t>
      </w:r>
      <w:proofErr w:type="spellStart"/>
      <w:r w:rsidRPr="008D4853">
        <w:rPr>
          <w:rFonts w:ascii="Arial" w:hAnsi="Arial" w:cs="Arial"/>
          <w:sz w:val="20"/>
          <w:szCs w:val="20"/>
        </w:rPr>
        <w:t>dexmedetomidina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, cetamina, </w:t>
      </w:r>
      <w:proofErr w:type="spellStart"/>
      <w:r w:rsidRPr="008D4853">
        <w:rPr>
          <w:rFonts w:ascii="Arial" w:hAnsi="Arial" w:cs="Arial"/>
          <w:sz w:val="20"/>
          <w:szCs w:val="20"/>
        </w:rPr>
        <w:t>midazolam</w:t>
      </w:r>
      <w:proofErr w:type="spellEnd"/>
      <w:r w:rsidRPr="008D4853">
        <w:rPr>
          <w:rFonts w:ascii="Arial" w:hAnsi="Arial" w:cs="Arial"/>
          <w:sz w:val="20"/>
          <w:szCs w:val="20"/>
        </w:rPr>
        <w:t> ou fentanil</w:t>
      </w:r>
      <w:r w:rsidRPr="008D4853">
        <w:rPr>
          <w:rFonts w:ascii="Arial" w:hAnsi="Arial" w:cs="Arial"/>
          <w:sz w:val="20"/>
          <w:szCs w:val="20"/>
          <w:vertAlign w:val="superscript"/>
        </w:rPr>
        <w:t>1</w:t>
      </w:r>
      <w:r w:rsidRPr="008D4853">
        <w:rPr>
          <w:rFonts w:ascii="Arial" w:hAnsi="Arial" w:cs="Arial"/>
          <w:sz w:val="20"/>
          <w:szCs w:val="20"/>
        </w:rPr>
        <w:t xml:space="preserve">. A </w:t>
      </w:r>
      <w:proofErr w:type="gramStart"/>
      <w:r w:rsidRPr="008D4853">
        <w:rPr>
          <w:rFonts w:ascii="Arial" w:hAnsi="Arial" w:cs="Arial"/>
          <w:sz w:val="20"/>
          <w:szCs w:val="20"/>
        </w:rPr>
        <w:t>associação  cetamina</w:t>
      </w:r>
      <w:proofErr w:type="gramEnd"/>
      <w:r w:rsidRPr="008D4853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D4853">
        <w:rPr>
          <w:rFonts w:ascii="Arial" w:hAnsi="Arial" w:cs="Arial"/>
          <w:sz w:val="20"/>
          <w:szCs w:val="20"/>
        </w:rPr>
        <w:t>dexmedetomidina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("</w:t>
      </w:r>
      <w:proofErr w:type="spellStart"/>
      <w:r w:rsidRPr="008D4853">
        <w:rPr>
          <w:rFonts w:ascii="Arial" w:hAnsi="Arial" w:cs="Arial"/>
          <w:sz w:val="20"/>
          <w:szCs w:val="20"/>
        </w:rPr>
        <w:t>keto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" / </w:t>
      </w:r>
      <w:proofErr w:type="spellStart"/>
      <w:r w:rsidRPr="008D4853">
        <w:rPr>
          <w:rFonts w:ascii="Arial" w:hAnsi="Arial" w:cs="Arial"/>
          <w:sz w:val="20"/>
          <w:szCs w:val="20"/>
        </w:rPr>
        <w:t>dex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) permite uma </w:t>
      </w:r>
      <w:proofErr w:type="spellStart"/>
      <w:r w:rsidRPr="008D4853">
        <w:rPr>
          <w:rFonts w:ascii="Arial" w:hAnsi="Arial" w:cs="Arial"/>
          <w:sz w:val="20"/>
          <w:szCs w:val="20"/>
        </w:rPr>
        <w:t>sedoanalgesia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eficaz, antagonizando efeitos adversos de ambos os fármacos</w:t>
      </w:r>
      <w:r w:rsidRPr="008D4853">
        <w:rPr>
          <w:rFonts w:ascii="Arial" w:hAnsi="Arial" w:cs="Arial"/>
          <w:sz w:val="20"/>
          <w:szCs w:val="20"/>
          <w:vertAlign w:val="superscript"/>
        </w:rPr>
        <w:t>2</w:t>
      </w:r>
      <w:r w:rsidRPr="008D4853">
        <w:rPr>
          <w:rFonts w:ascii="Arial" w:hAnsi="Arial" w:cs="Arial"/>
          <w:sz w:val="20"/>
          <w:szCs w:val="20"/>
        </w:rPr>
        <w:t xml:space="preserve">. </w:t>
      </w:r>
    </w:p>
    <w:p w14:paraId="208720B4" w14:textId="77777777" w:rsidR="00EC1DCB" w:rsidRPr="008D4853" w:rsidRDefault="00EC1DCB" w:rsidP="00EC1D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7AFE6C55" w14:textId="77777777" w:rsidR="00EC1DCB" w:rsidRPr="008D4853" w:rsidRDefault="00EC1DCB" w:rsidP="00EC1D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CASO CLÍNICO: Lactante de 9 meses, peso 8,5kg, previamente saudável. Vítima de mordedura humana com perda de pirâmide nasal direita, lábio superior e inferior, com exposição de dentes incisivos e pálpebra superior esquerda. Proposto para reconstrução eletiva das lesões, com retalhos pediculados cervical, </w:t>
      </w:r>
      <w:proofErr w:type="spellStart"/>
      <w:r w:rsidRPr="008D4853">
        <w:rPr>
          <w:rFonts w:ascii="Arial" w:hAnsi="Arial" w:cs="Arial"/>
          <w:sz w:val="20"/>
          <w:szCs w:val="20"/>
        </w:rPr>
        <w:t>supraclavicular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 e frontal direito, e colheita de tendão do antebraço para reconstrução da pálpebra. Perante a possibilidade de VAD, com provável ventilação facial impossível e intubação nasal difícil, foi realizado um plano de abordagem, mantendo a respiração espontânea. Como primeiro plano, a realização de </w:t>
      </w:r>
      <w:proofErr w:type="spellStart"/>
      <w:r w:rsidRPr="008D4853">
        <w:rPr>
          <w:rFonts w:ascii="Arial" w:hAnsi="Arial" w:cs="Arial"/>
          <w:sz w:val="20"/>
          <w:szCs w:val="20"/>
        </w:rPr>
        <w:t>fibroscopia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por via nasal em doente acordado com o tubo endotraqueal (TET) colocado através do mesmo. Em segundo plano, a realização de </w:t>
      </w:r>
      <w:proofErr w:type="spellStart"/>
      <w:r w:rsidRPr="008D4853">
        <w:rPr>
          <w:rFonts w:ascii="Arial" w:hAnsi="Arial" w:cs="Arial"/>
          <w:sz w:val="20"/>
          <w:szCs w:val="20"/>
        </w:rPr>
        <w:t>fibroscopia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para confirmação da </w:t>
      </w:r>
      <w:proofErr w:type="spellStart"/>
      <w:r w:rsidRPr="008D4853">
        <w:rPr>
          <w:rFonts w:ascii="Arial" w:hAnsi="Arial" w:cs="Arial"/>
          <w:sz w:val="20"/>
          <w:szCs w:val="20"/>
        </w:rPr>
        <w:t>patência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da fossa nasal, seguida de </w:t>
      </w:r>
      <w:proofErr w:type="spellStart"/>
      <w:r w:rsidRPr="008D4853">
        <w:rPr>
          <w:rFonts w:ascii="Arial" w:hAnsi="Arial" w:cs="Arial"/>
          <w:sz w:val="20"/>
          <w:szCs w:val="20"/>
        </w:rPr>
        <w:t>videolaringoscopia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para direcionar o TET. </w:t>
      </w:r>
    </w:p>
    <w:p w14:paraId="0D8EFC02" w14:textId="77777777" w:rsidR="00EC1DCB" w:rsidRPr="008D4853" w:rsidRDefault="00EC1DCB" w:rsidP="00EC1D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No dia da cirurgia, com a equipa de Otorrinolaringologia, e com a utilização do fibroscópio pediátrico, denotou-se a impossibilidade de passagem do TET 4 adequado pelo mesmo, sendo o TET 4,5 de calibre demasiado grande para o lactente, por via nasal. Foi realizada sedação em respiração espontânea, com recurso a "</w:t>
      </w:r>
      <w:proofErr w:type="spellStart"/>
      <w:r w:rsidRPr="008D4853">
        <w:rPr>
          <w:rFonts w:ascii="Arial" w:hAnsi="Arial" w:cs="Arial"/>
          <w:sz w:val="20"/>
          <w:szCs w:val="20"/>
        </w:rPr>
        <w:t>Keto</w:t>
      </w:r>
      <w:proofErr w:type="spellEnd"/>
      <w:r w:rsidRPr="008D4853">
        <w:rPr>
          <w:rFonts w:ascii="Arial" w:hAnsi="Arial" w:cs="Arial"/>
          <w:sz w:val="20"/>
          <w:szCs w:val="20"/>
        </w:rPr>
        <w:t>/</w:t>
      </w:r>
      <w:proofErr w:type="spellStart"/>
      <w:r w:rsidRPr="008D4853">
        <w:rPr>
          <w:rFonts w:ascii="Arial" w:hAnsi="Arial" w:cs="Arial"/>
          <w:sz w:val="20"/>
          <w:szCs w:val="20"/>
        </w:rPr>
        <w:t>Dex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" segundo protocolo, com </w:t>
      </w:r>
      <w:proofErr w:type="spellStart"/>
      <w:r w:rsidRPr="008D4853">
        <w:rPr>
          <w:rFonts w:ascii="Arial" w:hAnsi="Arial" w:cs="Arial"/>
          <w:sz w:val="20"/>
          <w:szCs w:val="20"/>
        </w:rPr>
        <w:t>bólus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de indução de 1 mg/kg e 1 </w:t>
      </w:r>
      <w:proofErr w:type="spellStart"/>
      <w:r w:rsidRPr="008D4853">
        <w:rPr>
          <w:rFonts w:ascii="Arial" w:hAnsi="Arial" w:cs="Arial"/>
          <w:sz w:val="20"/>
          <w:szCs w:val="20"/>
        </w:rPr>
        <w:t>mcg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/kg respetivamente, e manutenção com 0,5-1mg/kg/h e 0,5-1mcg/kg/h para abordar a via aérea. Realizada </w:t>
      </w:r>
      <w:proofErr w:type="spellStart"/>
      <w:r w:rsidRPr="008D4853">
        <w:rPr>
          <w:rFonts w:ascii="Arial" w:hAnsi="Arial" w:cs="Arial"/>
          <w:sz w:val="20"/>
          <w:szCs w:val="20"/>
        </w:rPr>
        <w:t>fibroscopia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por via nasal esquerda até cordas vocais sem intercorrências. Retirado fibroscópio e realizada </w:t>
      </w:r>
      <w:proofErr w:type="spellStart"/>
      <w:r w:rsidRPr="008D4853">
        <w:rPr>
          <w:rFonts w:ascii="Arial" w:hAnsi="Arial" w:cs="Arial"/>
          <w:sz w:val="20"/>
          <w:szCs w:val="20"/>
        </w:rPr>
        <w:t>videolaringoscopia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com visualização do TET após passagem pela narina esquerda, sendo direcionado para a traqueia com a pinça de </w:t>
      </w:r>
      <w:proofErr w:type="spellStart"/>
      <w:r w:rsidRPr="008D4853">
        <w:rPr>
          <w:rFonts w:ascii="Arial" w:hAnsi="Arial" w:cs="Arial"/>
          <w:sz w:val="20"/>
          <w:szCs w:val="20"/>
        </w:rPr>
        <w:t>Magill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. A cirurgia teve a duração total de 6 horas, tendo sido mantida anestesia geral endovenosa com Propofol, Cetamina e </w:t>
      </w:r>
      <w:proofErr w:type="spellStart"/>
      <w:r w:rsidRPr="008D4853">
        <w:rPr>
          <w:rFonts w:ascii="Arial" w:hAnsi="Arial" w:cs="Arial"/>
          <w:sz w:val="20"/>
          <w:szCs w:val="20"/>
        </w:rPr>
        <w:t>Remifentanil</w:t>
      </w:r>
      <w:proofErr w:type="spellEnd"/>
      <w:r w:rsidRPr="008D4853">
        <w:rPr>
          <w:rFonts w:ascii="Arial" w:hAnsi="Arial" w:cs="Arial"/>
          <w:sz w:val="20"/>
          <w:szCs w:val="20"/>
        </w:rPr>
        <w:t>, com transferência posterior da criança, entubada, sedada e em ventilação de suporte para a UCI.</w:t>
      </w:r>
    </w:p>
    <w:p w14:paraId="41668768" w14:textId="77777777" w:rsidR="00EC1DCB" w:rsidRPr="008D4853" w:rsidRDefault="00EC1DCB" w:rsidP="00EC1D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156580D8" w14:textId="77777777" w:rsidR="00EC1DCB" w:rsidRPr="008D4853" w:rsidRDefault="00EC1DCB" w:rsidP="00EC1D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 xml:space="preserve">DISCUSSÃO: A </w:t>
      </w:r>
      <w:proofErr w:type="spellStart"/>
      <w:r w:rsidRPr="008D4853">
        <w:rPr>
          <w:rFonts w:ascii="Arial" w:hAnsi="Arial" w:cs="Arial"/>
          <w:sz w:val="20"/>
          <w:szCs w:val="20"/>
        </w:rPr>
        <w:t>Dexmedetomidina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apresenta a capacidade de bloquear os reflexos da via aérea, com menor probabilidade de laringospasmo. A sua associação com a Cetamina permite antagonizar a </w:t>
      </w:r>
      <w:proofErr w:type="spellStart"/>
      <w:r w:rsidRPr="008D4853">
        <w:rPr>
          <w:rFonts w:ascii="Arial" w:hAnsi="Arial" w:cs="Arial"/>
          <w:sz w:val="20"/>
          <w:szCs w:val="20"/>
        </w:rPr>
        <w:t>bradicárdia</w:t>
      </w:r>
      <w:proofErr w:type="spellEnd"/>
      <w:r w:rsidRPr="008D4853">
        <w:rPr>
          <w:rFonts w:ascii="Arial" w:hAnsi="Arial" w:cs="Arial"/>
          <w:sz w:val="20"/>
          <w:szCs w:val="20"/>
        </w:rPr>
        <w:t> do primeiro e ainda a sialorreia do segundo</w:t>
      </w:r>
      <w:r w:rsidRPr="008D4853">
        <w:rPr>
          <w:rFonts w:ascii="Arial" w:hAnsi="Arial" w:cs="Arial"/>
          <w:sz w:val="20"/>
          <w:szCs w:val="20"/>
          <w:vertAlign w:val="superscript"/>
        </w:rPr>
        <w:t>2</w:t>
      </w:r>
      <w:r w:rsidRPr="008D4853">
        <w:rPr>
          <w:rFonts w:ascii="Arial" w:hAnsi="Arial" w:cs="Arial"/>
          <w:sz w:val="20"/>
          <w:szCs w:val="20"/>
        </w:rPr>
        <w:t>. Sem a utilização de lidocaína nebulizada, foi possível demonstrar a eficácia na manutenção da respiração espontânea e na capacidade de prevenir reflexos da via aérea. A dose de indução com "</w:t>
      </w:r>
      <w:proofErr w:type="spellStart"/>
      <w:r w:rsidRPr="008D4853">
        <w:rPr>
          <w:rFonts w:ascii="Arial" w:hAnsi="Arial" w:cs="Arial"/>
          <w:sz w:val="20"/>
          <w:szCs w:val="20"/>
        </w:rPr>
        <w:t>Keto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" / </w:t>
      </w:r>
      <w:proofErr w:type="spellStart"/>
      <w:r w:rsidRPr="008D4853">
        <w:rPr>
          <w:rFonts w:ascii="Arial" w:hAnsi="Arial" w:cs="Arial"/>
          <w:sz w:val="20"/>
          <w:szCs w:val="20"/>
        </w:rPr>
        <w:t>Dex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e a posterior manutenção permitem a realização de intubação em ventilação espontânea de forma segura em lactantes com trauma facial, um procedimento que pode ser demorado tendo em conta a sua dificuldade.</w:t>
      </w:r>
    </w:p>
    <w:p w14:paraId="720C8CB2" w14:textId="77777777" w:rsidR="00EC1DCB" w:rsidRPr="008D4853" w:rsidRDefault="00EC1DCB" w:rsidP="00EC1D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REFERÊNCIAS: </w:t>
      </w:r>
    </w:p>
    <w:p w14:paraId="667E8BA3" w14:textId="77777777" w:rsidR="00EC1DCB" w:rsidRPr="008D4853" w:rsidRDefault="00EC1DCB" w:rsidP="00EC1D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1 - J </w:t>
      </w:r>
      <w:proofErr w:type="spellStart"/>
      <w:r w:rsidRPr="008D4853">
        <w:rPr>
          <w:rFonts w:ascii="Arial" w:hAnsi="Arial" w:cs="Arial"/>
          <w:sz w:val="20"/>
          <w:szCs w:val="20"/>
        </w:rPr>
        <w:t>Pediatr</w:t>
      </w:r>
      <w:proofErr w:type="spellEnd"/>
      <w:r w:rsidRPr="008D4853">
        <w:rPr>
          <w:rFonts w:ascii="Arial" w:hAnsi="Arial" w:cs="Arial"/>
          <w:sz w:val="20"/>
          <w:szCs w:val="20"/>
        </w:rPr>
        <w:t> </w:t>
      </w:r>
      <w:proofErr w:type="spellStart"/>
      <w:r w:rsidRPr="008D4853">
        <w:rPr>
          <w:rFonts w:ascii="Arial" w:hAnsi="Arial" w:cs="Arial"/>
          <w:sz w:val="20"/>
          <w:szCs w:val="20"/>
        </w:rPr>
        <w:t>Intensive</w:t>
      </w:r>
      <w:proofErr w:type="spellEnd"/>
      <w:r w:rsidRPr="008D4853">
        <w:rPr>
          <w:rFonts w:ascii="Arial" w:hAnsi="Arial" w:cs="Arial"/>
          <w:sz w:val="20"/>
          <w:szCs w:val="20"/>
        </w:rPr>
        <w:t> Care </w:t>
      </w:r>
      <w:proofErr w:type="gramStart"/>
      <w:r w:rsidRPr="008D4853">
        <w:rPr>
          <w:rFonts w:ascii="Arial" w:hAnsi="Arial" w:cs="Arial"/>
          <w:sz w:val="20"/>
          <w:szCs w:val="20"/>
        </w:rPr>
        <w:t>2018;7:115</w:t>
      </w:r>
      <w:proofErr w:type="gramEnd"/>
      <w:r w:rsidRPr="008D4853">
        <w:rPr>
          <w:rFonts w:ascii="Arial" w:hAnsi="Arial" w:cs="Arial"/>
          <w:sz w:val="20"/>
          <w:szCs w:val="20"/>
        </w:rPr>
        <w:t>–125</w:t>
      </w:r>
    </w:p>
    <w:p w14:paraId="1FBFD98A" w14:textId="77777777" w:rsidR="00EC1DCB" w:rsidRPr="001A343E" w:rsidRDefault="00EC1DCB" w:rsidP="00EC1D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sz w:val="20"/>
          <w:szCs w:val="20"/>
          <w:lang w:val="en-US"/>
        </w:rPr>
        <w:t>2 - Anesthesiology 2022; 137:418–33</w:t>
      </w:r>
    </w:p>
    <w:p w14:paraId="1E093723" w14:textId="77777777" w:rsidR="00EC1DCB" w:rsidRPr="001A343E" w:rsidRDefault="00EC1DCB" w:rsidP="00EC1D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sz w:val="20"/>
          <w:szCs w:val="20"/>
          <w:lang w:val="en-US"/>
        </w:rPr>
        <w:t>3 - Journal of 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Anaesthesia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> and Pain, 2021, Volume: 2, No.3: 93-96</w:t>
      </w:r>
    </w:p>
    <w:p w14:paraId="6294EF70" w14:textId="77777777" w:rsidR="00EC1DCB" w:rsidRPr="008D4853" w:rsidRDefault="00EC1DCB" w:rsidP="00EC1DCB">
      <w:pPr>
        <w:rPr>
          <w:rFonts w:ascii="Arial" w:eastAsia="Times New Roman" w:hAnsi="Arial" w:cs="Arial"/>
          <w:sz w:val="20"/>
          <w:szCs w:val="20"/>
        </w:rPr>
      </w:pPr>
      <w:r w:rsidRPr="001A343E">
        <w:rPr>
          <w:rFonts w:ascii="Arial" w:eastAsia="Times New Roman" w:hAnsi="Arial" w:cs="Arial"/>
          <w:sz w:val="20"/>
          <w:szCs w:val="20"/>
          <w:lang w:val="en-US"/>
        </w:rPr>
        <w:br/>
      </w:r>
      <w:r w:rsidRPr="001A343E">
        <w:rPr>
          <w:rFonts w:ascii="Arial" w:eastAsia="Times New Roman" w:hAnsi="Arial" w:cs="Arial"/>
          <w:sz w:val="20"/>
          <w:szCs w:val="20"/>
          <w:lang w:val="en-US"/>
        </w:rPr>
        <w:br/>
      </w:r>
      <w:r w:rsidRPr="001A343E">
        <w:rPr>
          <w:rFonts w:ascii="Arial" w:eastAsia="Times New Roman" w:hAnsi="Arial" w:cs="Arial"/>
          <w:sz w:val="20"/>
          <w:szCs w:val="20"/>
          <w:lang w:val="en-US"/>
        </w:rPr>
        <w:br/>
      </w:r>
      <w:r w:rsidRPr="008D4853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06B27E99" wp14:editId="08AF5E12">
            <wp:extent cx="2118360" cy="2773680"/>
            <wp:effectExtent l="0" t="0" r="0" b="762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853">
        <w:rPr>
          <w:rFonts w:ascii="Arial" w:eastAsia="Times New Roman" w:hAnsi="Arial" w:cs="Arial"/>
          <w:sz w:val="20"/>
          <w:szCs w:val="20"/>
        </w:rPr>
        <w:br/>
      </w:r>
      <w:r w:rsidRPr="008D485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AB88BA4" wp14:editId="24D1E7C6">
            <wp:extent cx="2110740" cy="2811780"/>
            <wp:effectExtent l="0" t="0" r="3810" b="762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E3CEF" w14:textId="1E6473D5" w:rsidR="00FC35B8" w:rsidRPr="00EC1DCB" w:rsidRDefault="00FC35B8" w:rsidP="00EC1DCB"/>
    <w:sectPr w:rsidR="00FC35B8" w:rsidRPr="00EC1D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A36"/>
    <w:multiLevelType w:val="multilevel"/>
    <w:tmpl w:val="DD80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01385"/>
    <w:multiLevelType w:val="multilevel"/>
    <w:tmpl w:val="3424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8669306">
    <w:abstractNumId w:val="0"/>
  </w:num>
  <w:num w:numId="2" w16cid:durableId="770324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1"/>
    <w:rsid w:val="000D1133"/>
    <w:rsid w:val="001B6790"/>
    <w:rsid w:val="001C61FC"/>
    <w:rsid w:val="00416AB4"/>
    <w:rsid w:val="0051787D"/>
    <w:rsid w:val="00670F9D"/>
    <w:rsid w:val="00674711"/>
    <w:rsid w:val="006C4C08"/>
    <w:rsid w:val="007D47C6"/>
    <w:rsid w:val="00857D77"/>
    <w:rsid w:val="00BB1DFA"/>
    <w:rsid w:val="00C21AAC"/>
    <w:rsid w:val="00CA641B"/>
    <w:rsid w:val="00DC169D"/>
    <w:rsid w:val="00E95347"/>
    <w:rsid w:val="00EC1DCB"/>
    <w:rsid w:val="00ED0C35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DAB8"/>
  <w15:chartTrackingRefBased/>
  <w15:docId w15:val="{76A79111-DD88-4EC4-9429-17E65B51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11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711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674711"/>
    <w:rPr>
      <w:b/>
      <w:bCs/>
    </w:rPr>
  </w:style>
  <w:style w:type="character" w:styleId="nfase">
    <w:name w:val="Emphasis"/>
    <w:basedOn w:val="Tipodeletrapredefinidodopargrafo"/>
    <w:uiPriority w:val="20"/>
    <w:qFormat/>
    <w:rsid w:val="00674711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C21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Ferreira</dc:creator>
  <cp:keywords/>
  <dc:description/>
  <cp:lastModifiedBy>Raquel Ferreira</cp:lastModifiedBy>
  <cp:revision>2</cp:revision>
  <dcterms:created xsi:type="dcterms:W3CDTF">2023-03-15T15:02:00Z</dcterms:created>
  <dcterms:modified xsi:type="dcterms:W3CDTF">2023-03-15T15:02:00Z</dcterms:modified>
</cp:coreProperties>
</file>