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DF013E" w14:textId="77777777" w:rsidR="00E12DEE" w:rsidRPr="008D4853" w:rsidRDefault="00E12DEE" w:rsidP="00E12DEE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>
        <w:rPr>
          <w:rStyle w:val="Forte"/>
          <w:rFonts w:ascii="Arial" w:hAnsi="Arial" w:cs="Arial"/>
          <w:sz w:val="20"/>
          <w:szCs w:val="20"/>
        </w:rPr>
        <w:t>PO</w:t>
      </w:r>
      <w:r w:rsidRPr="008D4853">
        <w:rPr>
          <w:rStyle w:val="Forte"/>
          <w:rFonts w:ascii="Arial" w:hAnsi="Arial" w:cs="Arial"/>
          <w:sz w:val="20"/>
          <w:szCs w:val="20"/>
        </w:rPr>
        <w:t>06   ANAFILAXIA NA GRÁVIDA EM TRABALHO DE PARTO: A PROPÓSITO DE UM CASO CLÍNICO</w:t>
      </w:r>
    </w:p>
    <w:p w14:paraId="443F8303" w14:textId="77777777" w:rsidR="00E12DEE" w:rsidRPr="008D4853" w:rsidRDefault="00E12DEE" w:rsidP="00E12DEE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Style w:val="nfase"/>
          <w:rFonts w:ascii="Arial" w:hAnsi="Arial" w:cs="Arial"/>
          <w:sz w:val="20"/>
          <w:szCs w:val="20"/>
        </w:rPr>
        <w:t xml:space="preserve">Francisco </w:t>
      </w:r>
      <w:proofErr w:type="gramStart"/>
      <w:r w:rsidRPr="008D4853">
        <w:rPr>
          <w:rStyle w:val="nfase"/>
          <w:rFonts w:ascii="Arial" w:hAnsi="Arial" w:cs="Arial"/>
          <w:sz w:val="20"/>
          <w:szCs w:val="20"/>
        </w:rPr>
        <w:t>Sousa(</w:t>
      </w:r>
      <w:proofErr w:type="gramEnd"/>
      <w:r w:rsidRPr="008D4853">
        <w:rPr>
          <w:rStyle w:val="nfase"/>
          <w:rFonts w:ascii="Arial" w:hAnsi="Arial" w:cs="Arial"/>
          <w:sz w:val="20"/>
          <w:szCs w:val="20"/>
        </w:rPr>
        <w:t>1); Beatriz Leal(1); Maria Castro(2); João Moniz(1); Muriel Lérias-Cambeiro(2); Filipa Lança(2)</w:t>
      </w:r>
    </w:p>
    <w:p w14:paraId="5391DB9C" w14:textId="77777777" w:rsidR="00E12DEE" w:rsidRPr="008D4853" w:rsidRDefault="00E12DEE" w:rsidP="00E12DEE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Style w:val="nfase"/>
          <w:rFonts w:ascii="Arial" w:hAnsi="Arial" w:cs="Arial"/>
          <w:sz w:val="20"/>
          <w:szCs w:val="20"/>
        </w:rPr>
        <w:t xml:space="preserve">(1) IPO Lisboa (2) Centro Hospitalar de Lisboa Norte, EPE / Hospital de Santa Maria </w:t>
      </w:r>
    </w:p>
    <w:p w14:paraId="1DA2E17E" w14:textId="77777777" w:rsidR="00E12DEE" w:rsidRPr="008D4853" w:rsidRDefault="00E12DEE" w:rsidP="00E12DEE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sz w:val="20"/>
          <w:szCs w:val="20"/>
        </w:rPr>
        <w:t> </w:t>
      </w:r>
    </w:p>
    <w:p w14:paraId="0CB14EE2" w14:textId="77777777" w:rsidR="00E12DEE" w:rsidRPr="008D4853" w:rsidRDefault="00E12DEE" w:rsidP="00E12DEE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Style w:val="Forte"/>
          <w:rFonts w:ascii="Arial" w:hAnsi="Arial" w:cs="Arial"/>
          <w:sz w:val="20"/>
          <w:szCs w:val="20"/>
        </w:rPr>
        <w:t>Introdução</w:t>
      </w:r>
    </w:p>
    <w:p w14:paraId="092BD8BF" w14:textId="77777777" w:rsidR="00E12DEE" w:rsidRPr="008D4853" w:rsidRDefault="00E12DEE" w:rsidP="00E12DEE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sz w:val="20"/>
          <w:szCs w:val="20"/>
        </w:rPr>
        <w:t>As reações anafiláticas na gravidez, em particular durante o 3º trimestre, estão associadas a morbimortalidade materno-fetal significativa.</w:t>
      </w:r>
      <w:r w:rsidRPr="008D4853">
        <w:rPr>
          <w:rFonts w:ascii="Arial" w:hAnsi="Arial" w:cs="Arial"/>
          <w:sz w:val="20"/>
          <w:szCs w:val="20"/>
          <w:vertAlign w:val="superscript"/>
        </w:rPr>
        <w:t xml:space="preserve">1 </w:t>
      </w:r>
      <w:r w:rsidRPr="008D4853">
        <w:rPr>
          <w:rFonts w:ascii="Arial" w:hAnsi="Arial" w:cs="Arial"/>
          <w:sz w:val="20"/>
          <w:szCs w:val="20"/>
        </w:rPr>
        <w:t>O diagnóstico diferencial do colapso cardiovascular na grávida em trabalho de parto é extenso e a anafilaxia pode apresentar um quadro clínico inicial atípico,</w:t>
      </w:r>
      <w:r w:rsidRPr="008D4853">
        <w:rPr>
          <w:rFonts w:ascii="Arial" w:hAnsi="Arial" w:cs="Arial"/>
          <w:sz w:val="20"/>
          <w:szCs w:val="20"/>
          <w:vertAlign w:val="superscript"/>
        </w:rPr>
        <w:t>2</w:t>
      </w:r>
      <w:r w:rsidRPr="008D4853">
        <w:rPr>
          <w:rFonts w:ascii="Arial" w:hAnsi="Arial" w:cs="Arial"/>
          <w:sz w:val="20"/>
          <w:szCs w:val="20"/>
        </w:rPr>
        <w:t xml:space="preserve"> como demonstra o caso que apresentamos.  </w:t>
      </w:r>
    </w:p>
    <w:p w14:paraId="7226C40B" w14:textId="77777777" w:rsidR="00E12DEE" w:rsidRPr="008D4853" w:rsidRDefault="00E12DEE" w:rsidP="00E12DEE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sz w:val="20"/>
          <w:szCs w:val="20"/>
        </w:rPr>
        <w:t> </w:t>
      </w:r>
    </w:p>
    <w:p w14:paraId="543BBDBA" w14:textId="77777777" w:rsidR="00E12DEE" w:rsidRPr="008D4853" w:rsidRDefault="00E12DEE" w:rsidP="00E12DEE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Style w:val="Forte"/>
          <w:rFonts w:ascii="Arial" w:hAnsi="Arial" w:cs="Arial"/>
          <w:sz w:val="20"/>
          <w:szCs w:val="20"/>
        </w:rPr>
        <w:t>Caso Clínico</w:t>
      </w:r>
    </w:p>
    <w:p w14:paraId="12EA596C" w14:textId="77777777" w:rsidR="00E12DEE" w:rsidRPr="008D4853" w:rsidRDefault="00E12DEE" w:rsidP="00E12DEE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sz w:val="20"/>
          <w:szCs w:val="20"/>
        </w:rPr>
        <w:t xml:space="preserve">Grávida, 41 anos, G2PO (1 IMG), sem alergias conhecidas. Iniciou indução de trabalho parto (TP) às 39 semanas por idade materna avançada. Analgesia com técnica sequencial durante a fase ativa de TP, com manutenção por </w:t>
      </w:r>
      <w:proofErr w:type="spellStart"/>
      <w:r w:rsidRPr="008D4853">
        <w:rPr>
          <w:rFonts w:ascii="Arial" w:hAnsi="Arial" w:cs="Arial"/>
          <w:sz w:val="20"/>
          <w:szCs w:val="20"/>
        </w:rPr>
        <w:t>bólus</w:t>
      </w:r>
      <w:proofErr w:type="spellEnd"/>
      <w:r w:rsidRPr="008D4853">
        <w:rPr>
          <w:rFonts w:ascii="Arial" w:hAnsi="Arial" w:cs="Arial"/>
          <w:sz w:val="20"/>
          <w:szCs w:val="20"/>
        </w:rPr>
        <w:t xml:space="preserve"> de </w:t>
      </w:r>
      <w:proofErr w:type="spellStart"/>
      <w:r w:rsidRPr="008D4853">
        <w:rPr>
          <w:rFonts w:ascii="Arial" w:hAnsi="Arial" w:cs="Arial"/>
          <w:sz w:val="20"/>
          <w:szCs w:val="20"/>
        </w:rPr>
        <w:t>ropivacaína</w:t>
      </w:r>
      <w:proofErr w:type="spellEnd"/>
      <w:r w:rsidRPr="008D4853">
        <w:rPr>
          <w:rFonts w:ascii="Arial" w:hAnsi="Arial" w:cs="Arial"/>
          <w:sz w:val="20"/>
          <w:szCs w:val="20"/>
        </w:rPr>
        <w:t xml:space="preserve"> 0,2% epidural. Por rotura de membrana amniótica prolongada e suspeita de </w:t>
      </w:r>
      <w:proofErr w:type="spellStart"/>
      <w:r w:rsidRPr="008D4853">
        <w:rPr>
          <w:rFonts w:ascii="Arial" w:hAnsi="Arial" w:cs="Arial"/>
          <w:sz w:val="20"/>
          <w:szCs w:val="20"/>
        </w:rPr>
        <w:t>corioamnionite</w:t>
      </w:r>
      <w:proofErr w:type="spellEnd"/>
      <w:r w:rsidRPr="008D4853">
        <w:rPr>
          <w:rFonts w:ascii="Arial" w:hAnsi="Arial" w:cs="Arial"/>
          <w:sz w:val="20"/>
          <w:szCs w:val="20"/>
        </w:rPr>
        <w:t xml:space="preserve">, iniciou antibioterapia com ampicilina e gentamicina. 15 minutos após a administração, a grávida iniciou quadro súbito de mal-estar, náusea, diaforese, dispneia e sensação de parestesia perioral, da língua e dos quatro membros. Não apresentava edema da via aérea nem alterações na auscultação pulmonar. </w:t>
      </w:r>
      <w:proofErr w:type="spellStart"/>
      <w:r w:rsidRPr="008D4853">
        <w:rPr>
          <w:rFonts w:ascii="Arial" w:hAnsi="Arial" w:cs="Arial"/>
          <w:sz w:val="20"/>
          <w:szCs w:val="20"/>
        </w:rPr>
        <w:t>Hemodinamicamente</w:t>
      </w:r>
      <w:proofErr w:type="spellEnd"/>
      <w:r w:rsidRPr="008D4853">
        <w:rPr>
          <w:rFonts w:ascii="Arial" w:hAnsi="Arial" w:cs="Arial"/>
          <w:sz w:val="20"/>
          <w:szCs w:val="20"/>
        </w:rPr>
        <w:t xml:space="preserve">, registou PA 65-30mmHg e FC 115bpm. A grávida foi posicionada em decúbito lateral esquerdo, iniciou </w:t>
      </w:r>
      <w:proofErr w:type="spellStart"/>
      <w:r w:rsidRPr="008D4853">
        <w:rPr>
          <w:rFonts w:ascii="Arial" w:hAnsi="Arial" w:cs="Arial"/>
          <w:sz w:val="20"/>
          <w:szCs w:val="20"/>
        </w:rPr>
        <w:t>fluidoterapia</w:t>
      </w:r>
      <w:proofErr w:type="spellEnd"/>
      <w:r w:rsidRPr="008D4853">
        <w:rPr>
          <w:rFonts w:ascii="Arial" w:hAnsi="Arial" w:cs="Arial"/>
          <w:sz w:val="20"/>
          <w:szCs w:val="20"/>
        </w:rPr>
        <w:t xml:space="preserve"> e </w:t>
      </w:r>
      <w:proofErr w:type="spellStart"/>
      <w:r w:rsidRPr="008D4853">
        <w:rPr>
          <w:rFonts w:ascii="Arial" w:hAnsi="Arial" w:cs="Arial"/>
          <w:sz w:val="20"/>
          <w:szCs w:val="20"/>
        </w:rPr>
        <w:t>bólus</w:t>
      </w:r>
      <w:proofErr w:type="spellEnd"/>
      <w:r w:rsidRPr="008D4853">
        <w:rPr>
          <w:rFonts w:ascii="Arial" w:hAnsi="Arial" w:cs="Arial"/>
          <w:sz w:val="20"/>
          <w:szCs w:val="20"/>
        </w:rPr>
        <w:t xml:space="preserve"> de efedrina, sem melhoria. Com o surgimento de </w:t>
      </w:r>
      <w:proofErr w:type="spellStart"/>
      <w:r w:rsidRPr="008D4853">
        <w:rPr>
          <w:rFonts w:ascii="Arial" w:hAnsi="Arial" w:cs="Arial"/>
          <w:sz w:val="20"/>
          <w:szCs w:val="20"/>
        </w:rPr>
        <w:t>rash</w:t>
      </w:r>
      <w:proofErr w:type="spellEnd"/>
      <w:r w:rsidRPr="008D4853">
        <w:rPr>
          <w:rFonts w:ascii="Arial" w:hAnsi="Arial" w:cs="Arial"/>
          <w:sz w:val="20"/>
          <w:szCs w:val="20"/>
        </w:rPr>
        <w:t xml:space="preserve"> cutâneo generalizado e suspeita de choque anafilático, foi suspensa a antibioterapia e administrada adrenalina 0,5mg IM e </w:t>
      </w:r>
      <w:proofErr w:type="spellStart"/>
      <w:r w:rsidRPr="008D4853">
        <w:rPr>
          <w:rFonts w:ascii="Arial" w:hAnsi="Arial" w:cs="Arial"/>
          <w:sz w:val="20"/>
          <w:szCs w:val="20"/>
        </w:rPr>
        <w:t>hidrocortisona</w:t>
      </w:r>
      <w:proofErr w:type="spellEnd"/>
      <w:r w:rsidRPr="008D4853">
        <w:rPr>
          <w:rFonts w:ascii="Arial" w:hAnsi="Arial" w:cs="Arial"/>
          <w:sz w:val="20"/>
          <w:szCs w:val="20"/>
        </w:rPr>
        <w:t xml:space="preserve"> 100mg EV com progressiva melhoria do quadro. A grávida foi transferida para uma sala de partos polivalente, com monitorização standard da ASA com PA invasiva e monitorização da FC fetal contínua. Realizou colheitas seriadas de </w:t>
      </w:r>
      <w:proofErr w:type="spellStart"/>
      <w:r w:rsidRPr="008D4853">
        <w:rPr>
          <w:rFonts w:ascii="Arial" w:hAnsi="Arial" w:cs="Arial"/>
          <w:sz w:val="20"/>
          <w:szCs w:val="20"/>
        </w:rPr>
        <w:t>triptase</w:t>
      </w:r>
      <w:proofErr w:type="spellEnd"/>
      <w:r w:rsidRPr="008D4853">
        <w:rPr>
          <w:rFonts w:ascii="Arial" w:hAnsi="Arial" w:cs="Arial"/>
          <w:sz w:val="20"/>
          <w:szCs w:val="20"/>
        </w:rPr>
        <w:t xml:space="preserve"> sérica (45, 25 e 6ng/</w:t>
      </w:r>
      <w:proofErr w:type="spellStart"/>
      <w:r w:rsidRPr="008D4853">
        <w:rPr>
          <w:rFonts w:ascii="Arial" w:hAnsi="Arial" w:cs="Arial"/>
          <w:sz w:val="20"/>
          <w:szCs w:val="20"/>
        </w:rPr>
        <w:t>mL</w:t>
      </w:r>
      <w:proofErr w:type="spellEnd"/>
      <w:r w:rsidRPr="008D4853">
        <w:rPr>
          <w:rFonts w:ascii="Arial" w:hAnsi="Arial" w:cs="Arial"/>
          <w:sz w:val="20"/>
          <w:szCs w:val="20"/>
        </w:rPr>
        <w:t xml:space="preserve">, às 0h, 4h e 24h, respetivamente) e iniciou vancomicina. Por TP estacionário, a grávida foi submetida a cesariana sob anestesia epidural sem intercorrências. O recém-nascido apresentou índice de </w:t>
      </w:r>
      <w:proofErr w:type="spellStart"/>
      <w:r w:rsidRPr="008D4853">
        <w:rPr>
          <w:rFonts w:ascii="Arial" w:hAnsi="Arial" w:cs="Arial"/>
          <w:sz w:val="20"/>
          <w:szCs w:val="20"/>
        </w:rPr>
        <w:t>Apgar</w:t>
      </w:r>
      <w:proofErr w:type="spellEnd"/>
      <w:r w:rsidRPr="008D4853">
        <w:rPr>
          <w:rFonts w:ascii="Arial" w:hAnsi="Arial" w:cs="Arial"/>
          <w:sz w:val="20"/>
          <w:szCs w:val="20"/>
        </w:rPr>
        <w:t xml:space="preserve"> 9/10/10 e teve alta ao 2º dia. O puerpério foi complicado com endometrite e a puérpera teve alta ao 8º dia, com referenciação à </w:t>
      </w:r>
      <w:proofErr w:type="spellStart"/>
      <w:r w:rsidRPr="008D4853">
        <w:rPr>
          <w:rFonts w:ascii="Arial" w:hAnsi="Arial" w:cs="Arial"/>
          <w:sz w:val="20"/>
          <w:szCs w:val="20"/>
        </w:rPr>
        <w:t>Imunoalergologia</w:t>
      </w:r>
      <w:proofErr w:type="spellEnd"/>
      <w:r w:rsidRPr="008D4853">
        <w:rPr>
          <w:rFonts w:ascii="Arial" w:hAnsi="Arial" w:cs="Arial"/>
          <w:sz w:val="20"/>
          <w:szCs w:val="20"/>
        </w:rPr>
        <w:t xml:space="preserve">. </w:t>
      </w:r>
    </w:p>
    <w:p w14:paraId="43753756" w14:textId="77777777" w:rsidR="00E12DEE" w:rsidRPr="008D4853" w:rsidRDefault="00E12DEE" w:rsidP="00E12DEE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sz w:val="20"/>
          <w:szCs w:val="20"/>
        </w:rPr>
        <w:t> </w:t>
      </w:r>
    </w:p>
    <w:p w14:paraId="02D8B371" w14:textId="77777777" w:rsidR="00E12DEE" w:rsidRPr="008D4853" w:rsidRDefault="00E12DEE" w:rsidP="00E12DEE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Style w:val="Forte"/>
          <w:rFonts w:ascii="Arial" w:hAnsi="Arial" w:cs="Arial"/>
          <w:sz w:val="20"/>
          <w:szCs w:val="20"/>
        </w:rPr>
        <w:t>Discussão</w:t>
      </w:r>
      <w:r w:rsidRPr="008D4853">
        <w:rPr>
          <w:rFonts w:ascii="Arial" w:hAnsi="Arial" w:cs="Arial"/>
          <w:sz w:val="20"/>
          <w:szCs w:val="20"/>
        </w:rPr>
        <w:t> </w:t>
      </w:r>
    </w:p>
    <w:p w14:paraId="4E689752" w14:textId="77777777" w:rsidR="00E12DEE" w:rsidRPr="008D4853" w:rsidRDefault="00E12DEE" w:rsidP="00E12DEE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sz w:val="20"/>
          <w:szCs w:val="20"/>
        </w:rPr>
        <w:t xml:space="preserve">A anafilaxia na gravidez tem uma incidência de 3:100.000, sendo principalmente despoletada por antibióticos e látex. As manifestações cardiovasculares, agravadas pela compressão </w:t>
      </w:r>
      <w:proofErr w:type="spellStart"/>
      <w:r w:rsidRPr="008D4853">
        <w:rPr>
          <w:rFonts w:ascii="Arial" w:hAnsi="Arial" w:cs="Arial"/>
          <w:sz w:val="20"/>
          <w:szCs w:val="20"/>
        </w:rPr>
        <w:t>aorto</w:t>
      </w:r>
      <w:proofErr w:type="spellEnd"/>
      <w:r w:rsidRPr="008D4853">
        <w:rPr>
          <w:rFonts w:ascii="Arial" w:hAnsi="Arial" w:cs="Arial"/>
          <w:sz w:val="20"/>
          <w:szCs w:val="20"/>
        </w:rPr>
        <w:t xml:space="preserve">-cava pelo útero gravídico, são frequentemente a manifestação inicial, com um diagnóstico diferencial extenso que pode atrasar o tratamento. Neste caso clínico, a toxicidade aos anestésicos locais, o choque sético e a embolia pulmonar poderiam ser outras causas possíveis. O atraso na administração da adrenalina ou doses inadequadas estão frequentemente associadas a morte fetal e morbilidade neurológica fetal (46%). O suporte hemodinâmico imediato com medidas que facilitam o retorno venoso e a perfusão uteroplacentária, bem como a administração precoce de adrenalina e a monitorização materno-fetal contínua não devem ser protelados e, neste caso, poderão ter sido fatores decisivos para um desfecho positivo para a mãe e recém-nascido. </w:t>
      </w:r>
    </w:p>
    <w:p w14:paraId="1D81F125" w14:textId="77777777" w:rsidR="00E12DEE" w:rsidRPr="008D4853" w:rsidRDefault="00E12DEE" w:rsidP="00E12DEE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sz w:val="20"/>
          <w:szCs w:val="20"/>
        </w:rPr>
        <w:t> </w:t>
      </w:r>
    </w:p>
    <w:p w14:paraId="1D0CE672" w14:textId="77777777" w:rsidR="00E12DEE" w:rsidRPr="008D4853" w:rsidRDefault="00E12DEE" w:rsidP="00E12DEE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Style w:val="Forte"/>
          <w:rFonts w:ascii="Arial" w:hAnsi="Arial" w:cs="Arial"/>
          <w:sz w:val="20"/>
          <w:szCs w:val="20"/>
        </w:rPr>
        <w:t>Referências:</w:t>
      </w:r>
    </w:p>
    <w:p w14:paraId="12F15A44" w14:textId="77777777" w:rsidR="00E12DEE" w:rsidRPr="008D4853" w:rsidRDefault="00E12DEE" w:rsidP="00E12DEE">
      <w:pPr>
        <w:numPr>
          <w:ilvl w:val="0"/>
          <w:numId w:val="5"/>
        </w:numPr>
        <w:rPr>
          <w:rFonts w:ascii="Arial" w:eastAsia="Times New Roman" w:hAnsi="Arial" w:cs="Arial"/>
          <w:sz w:val="20"/>
          <w:szCs w:val="20"/>
        </w:rPr>
      </w:pPr>
      <w:proofErr w:type="spellStart"/>
      <w:r w:rsidRPr="008D4853">
        <w:rPr>
          <w:rFonts w:ascii="Arial" w:eastAsia="Times New Roman" w:hAnsi="Arial" w:cs="Arial"/>
          <w:sz w:val="20"/>
          <w:szCs w:val="20"/>
        </w:rPr>
        <w:t>Anaesthesia</w:t>
      </w:r>
      <w:proofErr w:type="spellEnd"/>
      <w:r w:rsidRPr="008D4853">
        <w:rPr>
          <w:rFonts w:ascii="Arial" w:eastAsia="Times New Roman" w:hAnsi="Arial" w:cs="Arial"/>
          <w:sz w:val="20"/>
          <w:szCs w:val="20"/>
        </w:rPr>
        <w:t xml:space="preserve"> 2020, 75, 1469–1475</w:t>
      </w:r>
    </w:p>
    <w:p w14:paraId="502094AE" w14:textId="77777777" w:rsidR="00E12DEE" w:rsidRPr="001A343E" w:rsidRDefault="00E12DEE" w:rsidP="00E12DEE">
      <w:pPr>
        <w:numPr>
          <w:ilvl w:val="0"/>
          <w:numId w:val="5"/>
        </w:numPr>
        <w:rPr>
          <w:rFonts w:ascii="Arial" w:eastAsia="Times New Roman" w:hAnsi="Arial" w:cs="Arial"/>
          <w:sz w:val="20"/>
          <w:szCs w:val="20"/>
          <w:lang w:val="en-US"/>
        </w:rPr>
      </w:pPr>
      <w:r w:rsidRPr="001A343E">
        <w:rPr>
          <w:rFonts w:ascii="Arial" w:eastAsia="Times New Roman" w:hAnsi="Arial" w:cs="Arial"/>
          <w:sz w:val="20"/>
          <w:szCs w:val="20"/>
          <w:lang w:val="en-US"/>
        </w:rPr>
        <w:t>J Allergy Clin Immunol. 2012 Sep;130(3):597-606</w:t>
      </w:r>
    </w:p>
    <w:p w14:paraId="0CF4B6F9" w14:textId="77777777" w:rsidR="00E12DEE" w:rsidRPr="008D4853" w:rsidRDefault="00E12DEE" w:rsidP="00E12DEE">
      <w:pPr>
        <w:rPr>
          <w:rFonts w:ascii="Arial" w:eastAsia="Times New Roman" w:hAnsi="Arial" w:cs="Arial"/>
          <w:sz w:val="20"/>
          <w:szCs w:val="20"/>
        </w:rPr>
      </w:pPr>
      <w:r w:rsidRPr="001A343E">
        <w:rPr>
          <w:rFonts w:ascii="Arial" w:eastAsia="Times New Roman" w:hAnsi="Arial" w:cs="Arial"/>
          <w:sz w:val="20"/>
          <w:szCs w:val="20"/>
          <w:lang w:val="en-US"/>
        </w:rPr>
        <w:br/>
      </w:r>
      <w:r w:rsidRPr="001A343E">
        <w:rPr>
          <w:rFonts w:ascii="Arial" w:eastAsia="Times New Roman" w:hAnsi="Arial" w:cs="Arial"/>
          <w:sz w:val="20"/>
          <w:szCs w:val="20"/>
          <w:lang w:val="en-US"/>
        </w:rPr>
        <w:br/>
      </w:r>
      <w:r w:rsidRPr="001A343E">
        <w:rPr>
          <w:rFonts w:ascii="Arial" w:eastAsia="Times New Roman" w:hAnsi="Arial" w:cs="Arial"/>
          <w:sz w:val="20"/>
          <w:szCs w:val="20"/>
          <w:lang w:val="en-US"/>
        </w:rPr>
        <w:lastRenderedPageBreak/>
        <w:br/>
      </w:r>
      <w:r w:rsidRPr="008D4853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0A17D672" wp14:editId="4F8A98DF">
            <wp:extent cx="5707380" cy="6286500"/>
            <wp:effectExtent l="0" t="0" r="7620" b="0"/>
            <wp:docPr id="19" name="Imagem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7380" cy="628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7E3CEF" w14:textId="1E6F99EC" w:rsidR="00FC35B8" w:rsidRPr="008008E2" w:rsidRDefault="00FC35B8" w:rsidP="00E12DEE">
      <w:pPr>
        <w:rPr>
          <w:rFonts w:ascii="Arial" w:eastAsia="Times New Roman" w:hAnsi="Arial" w:cs="Arial"/>
          <w:sz w:val="20"/>
          <w:szCs w:val="20"/>
        </w:rPr>
      </w:pPr>
    </w:p>
    <w:sectPr w:rsidR="00FC35B8" w:rsidRPr="008008E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26A36"/>
    <w:multiLevelType w:val="multilevel"/>
    <w:tmpl w:val="DD8007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101385"/>
    <w:multiLevelType w:val="multilevel"/>
    <w:tmpl w:val="3424D7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4663A95"/>
    <w:multiLevelType w:val="multilevel"/>
    <w:tmpl w:val="43C079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1504FE3"/>
    <w:multiLevelType w:val="multilevel"/>
    <w:tmpl w:val="F01E2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7444BA4"/>
    <w:multiLevelType w:val="multilevel"/>
    <w:tmpl w:val="3DB22F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48669306">
    <w:abstractNumId w:val="0"/>
  </w:num>
  <w:num w:numId="2" w16cid:durableId="770324313">
    <w:abstractNumId w:val="1"/>
  </w:num>
  <w:num w:numId="3" w16cid:durableId="1787381973">
    <w:abstractNumId w:val="4"/>
  </w:num>
  <w:num w:numId="4" w16cid:durableId="1140810425">
    <w:abstractNumId w:val="3"/>
  </w:num>
  <w:num w:numId="5" w16cid:durableId="11801261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711"/>
    <w:rsid w:val="000D1133"/>
    <w:rsid w:val="001B6790"/>
    <w:rsid w:val="001C61FC"/>
    <w:rsid w:val="002938F9"/>
    <w:rsid w:val="00416AB4"/>
    <w:rsid w:val="0051787D"/>
    <w:rsid w:val="00670F9D"/>
    <w:rsid w:val="00674711"/>
    <w:rsid w:val="006C4C08"/>
    <w:rsid w:val="007D47C6"/>
    <w:rsid w:val="008008E2"/>
    <w:rsid w:val="00857D77"/>
    <w:rsid w:val="00BB1DFA"/>
    <w:rsid w:val="00C21AAC"/>
    <w:rsid w:val="00CA641B"/>
    <w:rsid w:val="00DC169D"/>
    <w:rsid w:val="00DC6FAA"/>
    <w:rsid w:val="00E12DEE"/>
    <w:rsid w:val="00E95347"/>
    <w:rsid w:val="00EB4799"/>
    <w:rsid w:val="00EC1DCB"/>
    <w:rsid w:val="00ED0C35"/>
    <w:rsid w:val="00FC3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7DAB8"/>
  <w15:chartTrackingRefBased/>
  <w15:docId w15:val="{76A79111-DD88-4EC4-9429-17E65B513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P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4711"/>
    <w:pPr>
      <w:spacing w:after="0" w:line="240" w:lineRule="auto"/>
    </w:pPr>
    <w:rPr>
      <w:rFonts w:ascii="Times New Roman" w:eastAsiaTheme="minorEastAsia" w:hAnsi="Times New Roman" w:cs="Times New Roman"/>
      <w:kern w:val="0"/>
      <w:sz w:val="24"/>
      <w:szCs w:val="24"/>
      <w:lang w:eastAsia="pt-PT"/>
      <w14:ligatures w14:val="none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74711"/>
    <w:pPr>
      <w:spacing w:before="100" w:beforeAutospacing="1" w:after="100" w:afterAutospacing="1"/>
    </w:pPr>
  </w:style>
  <w:style w:type="character" w:styleId="Forte">
    <w:name w:val="Strong"/>
    <w:basedOn w:val="Tipodeletrapredefinidodopargrafo"/>
    <w:uiPriority w:val="22"/>
    <w:qFormat/>
    <w:rsid w:val="00674711"/>
    <w:rPr>
      <w:b/>
      <w:bCs/>
    </w:rPr>
  </w:style>
  <w:style w:type="character" w:styleId="nfase">
    <w:name w:val="Emphasis"/>
    <w:basedOn w:val="Tipodeletrapredefinidodopargrafo"/>
    <w:uiPriority w:val="20"/>
    <w:qFormat/>
    <w:rsid w:val="00674711"/>
    <w:rPr>
      <w:i/>
      <w:iCs/>
    </w:rPr>
  </w:style>
  <w:style w:type="character" w:styleId="Hiperligao">
    <w:name w:val="Hyperlink"/>
    <w:basedOn w:val="Tipodeletrapredefinidodopargrafo"/>
    <w:uiPriority w:val="99"/>
    <w:semiHidden/>
    <w:unhideWhenUsed/>
    <w:rsid w:val="00C21AA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509</Words>
  <Characters>2749</Characters>
  <Application>Microsoft Office Word</Application>
  <DocSecurity>0</DocSecurity>
  <Lines>22</Lines>
  <Paragraphs>6</Paragraphs>
  <ScaleCrop>false</ScaleCrop>
  <Company/>
  <LinksUpToDate>false</LinksUpToDate>
  <CharactersWithSpaces>3252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Raquel Ferreira</dc:creator>
  <cp:keywords/>
  <dc:description/>
  <cp:lastModifiedBy>Raquel Ferreira</cp:lastModifiedBy>
  <cp:revision>2</cp:revision>
  <dcterms:created xsi:type="dcterms:W3CDTF">2023-03-15T15:04:00Z</dcterms:created>
  <dcterms:modified xsi:type="dcterms:W3CDTF">2023-03-15T15:04:00Z</dcterms:modified>
</cp:coreProperties>
</file>