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F013E" w14:textId="77777777" w:rsidR="00E12DEE" w:rsidRPr="008D4853" w:rsidRDefault="00E12DEE" w:rsidP="00E12DEE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Style w:val="Forte"/>
          <w:rFonts w:ascii="Arial" w:hAnsi="Arial" w:cs="Arial"/>
          <w:sz w:val="20"/>
          <w:szCs w:val="20"/>
        </w:rPr>
        <w:t>PO</w:t>
      </w:r>
      <w:r w:rsidRPr="008D4853">
        <w:rPr>
          <w:rStyle w:val="Forte"/>
          <w:rFonts w:ascii="Arial" w:hAnsi="Arial" w:cs="Arial"/>
          <w:sz w:val="20"/>
          <w:szCs w:val="20"/>
        </w:rPr>
        <w:t>06   ANAFILAXIA NA GRÁVIDA EM TRABALHO DE PARTO: A PROPÓSITO DE UM CASO CLÍNICO</w:t>
      </w:r>
    </w:p>
    <w:p w14:paraId="443F8303" w14:textId="77777777" w:rsidR="00E12DEE" w:rsidRPr="008D4853" w:rsidRDefault="00E12DEE" w:rsidP="00E12DEE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Style w:val="nfase"/>
          <w:rFonts w:ascii="Arial" w:hAnsi="Arial" w:cs="Arial"/>
          <w:sz w:val="20"/>
          <w:szCs w:val="20"/>
        </w:rPr>
        <w:t xml:space="preserve">Francisco </w:t>
      </w:r>
      <w:proofErr w:type="gramStart"/>
      <w:r w:rsidRPr="008D4853">
        <w:rPr>
          <w:rStyle w:val="nfase"/>
          <w:rFonts w:ascii="Arial" w:hAnsi="Arial" w:cs="Arial"/>
          <w:sz w:val="20"/>
          <w:szCs w:val="20"/>
        </w:rPr>
        <w:t>Sousa(</w:t>
      </w:r>
      <w:proofErr w:type="gramEnd"/>
      <w:r w:rsidRPr="008D4853">
        <w:rPr>
          <w:rStyle w:val="nfase"/>
          <w:rFonts w:ascii="Arial" w:hAnsi="Arial" w:cs="Arial"/>
          <w:sz w:val="20"/>
          <w:szCs w:val="20"/>
        </w:rPr>
        <w:t>1); Beatriz Leal(1); Maria Castro(2); João Moniz(1); Muriel Lérias-Cambeiro(2); Filipa Lança(2)</w:t>
      </w:r>
    </w:p>
    <w:p w14:paraId="5391DB9C" w14:textId="77777777" w:rsidR="00E12DEE" w:rsidRPr="008D4853" w:rsidRDefault="00E12DEE" w:rsidP="00E12DEE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Style w:val="nfase"/>
          <w:rFonts w:ascii="Arial" w:hAnsi="Arial" w:cs="Arial"/>
          <w:sz w:val="20"/>
          <w:szCs w:val="20"/>
        </w:rPr>
        <w:t xml:space="preserve">(1) IPO Lisboa (2) Centro Hospitalar de Lisboa Norte, EPE / Hospital de Santa Maria </w:t>
      </w:r>
    </w:p>
    <w:p w14:paraId="1DA2E17E" w14:textId="77777777" w:rsidR="00E12DEE" w:rsidRPr="008D4853" w:rsidRDefault="00E12DEE" w:rsidP="00E12DEE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> </w:t>
      </w:r>
    </w:p>
    <w:p w14:paraId="0CB14EE2" w14:textId="77777777" w:rsidR="00E12DEE" w:rsidRPr="008D4853" w:rsidRDefault="00E12DEE" w:rsidP="00E12DEE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Style w:val="Forte"/>
          <w:rFonts w:ascii="Arial" w:hAnsi="Arial" w:cs="Arial"/>
          <w:sz w:val="20"/>
          <w:szCs w:val="20"/>
        </w:rPr>
        <w:t>Introdução</w:t>
      </w:r>
    </w:p>
    <w:p w14:paraId="092BD8BF" w14:textId="77777777" w:rsidR="00E12DEE" w:rsidRPr="008D4853" w:rsidRDefault="00E12DEE" w:rsidP="00E12DEE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>As reações anafiláticas na gravidez, em particular durante o 3º trimestre, estão associadas a morbimortalidade materno-fetal significativa.</w:t>
      </w:r>
      <w:r w:rsidRPr="008D4853">
        <w:rPr>
          <w:rFonts w:ascii="Arial" w:hAnsi="Arial" w:cs="Arial"/>
          <w:sz w:val="20"/>
          <w:szCs w:val="20"/>
          <w:vertAlign w:val="superscript"/>
        </w:rPr>
        <w:t xml:space="preserve">1 </w:t>
      </w:r>
      <w:r w:rsidRPr="008D4853">
        <w:rPr>
          <w:rFonts w:ascii="Arial" w:hAnsi="Arial" w:cs="Arial"/>
          <w:sz w:val="20"/>
          <w:szCs w:val="20"/>
        </w:rPr>
        <w:t>O diagnóstico diferencial do colapso cardiovascular na grávida em trabalho de parto é extenso e a anafilaxia pode apresentar um quadro clínico inicial atípico,</w:t>
      </w:r>
      <w:r w:rsidRPr="008D4853">
        <w:rPr>
          <w:rFonts w:ascii="Arial" w:hAnsi="Arial" w:cs="Arial"/>
          <w:sz w:val="20"/>
          <w:szCs w:val="20"/>
          <w:vertAlign w:val="superscript"/>
        </w:rPr>
        <w:t>2</w:t>
      </w:r>
      <w:r w:rsidRPr="008D4853">
        <w:rPr>
          <w:rFonts w:ascii="Arial" w:hAnsi="Arial" w:cs="Arial"/>
          <w:sz w:val="20"/>
          <w:szCs w:val="20"/>
        </w:rPr>
        <w:t xml:space="preserve"> como demonstra o caso que apresentamos.  </w:t>
      </w:r>
    </w:p>
    <w:p w14:paraId="7226C40B" w14:textId="77777777" w:rsidR="00E12DEE" w:rsidRPr="008D4853" w:rsidRDefault="00E12DEE" w:rsidP="00E12DEE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> </w:t>
      </w:r>
    </w:p>
    <w:p w14:paraId="543BBDBA" w14:textId="77777777" w:rsidR="00E12DEE" w:rsidRPr="008D4853" w:rsidRDefault="00E12DEE" w:rsidP="00E12DEE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Style w:val="Forte"/>
          <w:rFonts w:ascii="Arial" w:hAnsi="Arial" w:cs="Arial"/>
          <w:sz w:val="20"/>
          <w:szCs w:val="20"/>
        </w:rPr>
        <w:t>Caso Clínico</w:t>
      </w:r>
    </w:p>
    <w:p w14:paraId="12EA596C" w14:textId="77777777" w:rsidR="00E12DEE" w:rsidRPr="008D4853" w:rsidRDefault="00E12DEE" w:rsidP="00E12DEE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 xml:space="preserve">Grávida, 41 anos, G2PO (1 IMG), sem alergias conhecidas. Iniciou indução de trabalho parto (TP) às 39 semanas por idade materna avançada. Analgesia com técnica sequencial durante a fase ativa de TP, com manutenção por </w:t>
      </w:r>
      <w:proofErr w:type="spellStart"/>
      <w:r w:rsidRPr="008D4853">
        <w:rPr>
          <w:rFonts w:ascii="Arial" w:hAnsi="Arial" w:cs="Arial"/>
          <w:sz w:val="20"/>
          <w:szCs w:val="20"/>
        </w:rPr>
        <w:t>bólus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8D4853">
        <w:rPr>
          <w:rFonts w:ascii="Arial" w:hAnsi="Arial" w:cs="Arial"/>
          <w:sz w:val="20"/>
          <w:szCs w:val="20"/>
        </w:rPr>
        <w:t>ropivacaína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0,2% epidural. Por rotura de membrana amniótica prolongada e suspeita de </w:t>
      </w:r>
      <w:proofErr w:type="spellStart"/>
      <w:r w:rsidRPr="008D4853">
        <w:rPr>
          <w:rFonts w:ascii="Arial" w:hAnsi="Arial" w:cs="Arial"/>
          <w:sz w:val="20"/>
          <w:szCs w:val="20"/>
        </w:rPr>
        <w:t>corioamnionite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, iniciou antibioterapia com ampicilina e gentamicina. 15 minutos após a administração, a grávida iniciou quadro súbito de mal-estar, náusea, diaforese, dispneia e sensação de parestesia perioral, da língua e dos quatro membros. Não apresentava edema da via aérea nem alterações na auscultação pulmonar. </w:t>
      </w:r>
      <w:proofErr w:type="spellStart"/>
      <w:r w:rsidRPr="008D4853">
        <w:rPr>
          <w:rFonts w:ascii="Arial" w:hAnsi="Arial" w:cs="Arial"/>
          <w:sz w:val="20"/>
          <w:szCs w:val="20"/>
        </w:rPr>
        <w:t>Hemodinamicamente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, registou PA 65-30mmHg e FC 115bpm. A grávida foi posicionada em decúbito lateral esquerdo, iniciou </w:t>
      </w:r>
      <w:proofErr w:type="spellStart"/>
      <w:r w:rsidRPr="008D4853">
        <w:rPr>
          <w:rFonts w:ascii="Arial" w:hAnsi="Arial" w:cs="Arial"/>
          <w:sz w:val="20"/>
          <w:szCs w:val="20"/>
        </w:rPr>
        <w:t>fluidoterapia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8D4853">
        <w:rPr>
          <w:rFonts w:ascii="Arial" w:hAnsi="Arial" w:cs="Arial"/>
          <w:sz w:val="20"/>
          <w:szCs w:val="20"/>
        </w:rPr>
        <w:t>bólus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de efedrina, sem melhoria. Com o surgimento de </w:t>
      </w:r>
      <w:proofErr w:type="spellStart"/>
      <w:r w:rsidRPr="008D4853">
        <w:rPr>
          <w:rFonts w:ascii="Arial" w:hAnsi="Arial" w:cs="Arial"/>
          <w:sz w:val="20"/>
          <w:szCs w:val="20"/>
        </w:rPr>
        <w:t>rash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cutâneo generalizado e suspeita de choque anafilático, foi suspensa a antibioterapia e administrada adrenalina 0,5mg IM e </w:t>
      </w:r>
      <w:proofErr w:type="spellStart"/>
      <w:r w:rsidRPr="008D4853">
        <w:rPr>
          <w:rFonts w:ascii="Arial" w:hAnsi="Arial" w:cs="Arial"/>
          <w:sz w:val="20"/>
          <w:szCs w:val="20"/>
        </w:rPr>
        <w:t>hidrocortisona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100mg EV com progressiva melhoria do quadro. A grávida foi transferida para uma sala de partos polivalente, com monitorização standard da ASA com PA invasiva e monitorização da FC fetal contínua. Realizou colheitas seriadas de </w:t>
      </w:r>
      <w:proofErr w:type="spellStart"/>
      <w:r w:rsidRPr="008D4853">
        <w:rPr>
          <w:rFonts w:ascii="Arial" w:hAnsi="Arial" w:cs="Arial"/>
          <w:sz w:val="20"/>
          <w:szCs w:val="20"/>
        </w:rPr>
        <w:t>triptase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sérica (45, 25 e 6ng/</w:t>
      </w:r>
      <w:proofErr w:type="spellStart"/>
      <w:r w:rsidRPr="008D4853">
        <w:rPr>
          <w:rFonts w:ascii="Arial" w:hAnsi="Arial" w:cs="Arial"/>
          <w:sz w:val="20"/>
          <w:szCs w:val="20"/>
        </w:rPr>
        <w:t>mL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, às 0h, 4h e 24h, respetivamente) e iniciou vancomicina. Por TP estacionário, a grávida foi submetida a cesariana sob anestesia epidural sem intercorrências. O recém-nascido apresentou índice de </w:t>
      </w:r>
      <w:proofErr w:type="spellStart"/>
      <w:r w:rsidRPr="008D4853">
        <w:rPr>
          <w:rFonts w:ascii="Arial" w:hAnsi="Arial" w:cs="Arial"/>
          <w:sz w:val="20"/>
          <w:szCs w:val="20"/>
        </w:rPr>
        <w:t>Apgar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9/10/10 e teve alta ao 2º dia. O puerpério foi complicado com endometrite e a puérpera teve alta ao 8º dia, com referenciação à </w:t>
      </w:r>
      <w:proofErr w:type="spellStart"/>
      <w:r w:rsidRPr="008D4853">
        <w:rPr>
          <w:rFonts w:ascii="Arial" w:hAnsi="Arial" w:cs="Arial"/>
          <w:sz w:val="20"/>
          <w:szCs w:val="20"/>
        </w:rPr>
        <w:t>Imunoalergologia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. </w:t>
      </w:r>
    </w:p>
    <w:p w14:paraId="43753756" w14:textId="77777777" w:rsidR="00E12DEE" w:rsidRPr="008D4853" w:rsidRDefault="00E12DEE" w:rsidP="00E12DEE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> </w:t>
      </w:r>
    </w:p>
    <w:p w14:paraId="02D8B371" w14:textId="77777777" w:rsidR="00E12DEE" w:rsidRPr="008D4853" w:rsidRDefault="00E12DEE" w:rsidP="00E12DEE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Style w:val="Forte"/>
          <w:rFonts w:ascii="Arial" w:hAnsi="Arial" w:cs="Arial"/>
          <w:sz w:val="20"/>
          <w:szCs w:val="20"/>
        </w:rPr>
        <w:t>Discussão</w:t>
      </w:r>
      <w:r w:rsidRPr="008D4853">
        <w:rPr>
          <w:rFonts w:ascii="Arial" w:hAnsi="Arial" w:cs="Arial"/>
          <w:sz w:val="20"/>
          <w:szCs w:val="20"/>
        </w:rPr>
        <w:t> </w:t>
      </w:r>
    </w:p>
    <w:p w14:paraId="4E689752" w14:textId="77777777" w:rsidR="00E12DEE" w:rsidRPr="008D4853" w:rsidRDefault="00E12DEE" w:rsidP="00E12DEE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 xml:space="preserve">A anafilaxia na gravidez tem uma incidência de 3:100.000, sendo principalmente despoletada por antibióticos e látex. As manifestações cardiovasculares, agravadas pela compressão </w:t>
      </w:r>
      <w:proofErr w:type="spellStart"/>
      <w:r w:rsidRPr="008D4853">
        <w:rPr>
          <w:rFonts w:ascii="Arial" w:hAnsi="Arial" w:cs="Arial"/>
          <w:sz w:val="20"/>
          <w:szCs w:val="20"/>
        </w:rPr>
        <w:t>aorto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-cava pelo útero gravídico, são frequentemente a manifestação inicial, com um diagnóstico diferencial extenso que pode atrasar o tratamento. Neste caso clínico, a toxicidade aos anestésicos locais, o choque sético e a embolia pulmonar poderiam ser outras causas possíveis. O atraso na administração da adrenalina ou doses inadequadas estão frequentemente associadas a morte fetal e morbilidade neurológica fetal (46%). O suporte hemodinâmico imediato com medidas que facilitam o retorno venoso e a perfusão uteroplacentária, bem como a administração precoce de adrenalina e a monitorização materno-fetal contínua não devem ser protelados e, neste caso, poderão ter sido fatores decisivos para um desfecho positivo para a mãe e recém-nascido. </w:t>
      </w:r>
    </w:p>
    <w:p w14:paraId="1D81F125" w14:textId="77777777" w:rsidR="00E12DEE" w:rsidRPr="008D4853" w:rsidRDefault="00E12DEE" w:rsidP="00E12DEE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> </w:t>
      </w:r>
    </w:p>
    <w:p w14:paraId="1D0CE672" w14:textId="77777777" w:rsidR="00E12DEE" w:rsidRPr="008D4853" w:rsidRDefault="00E12DEE" w:rsidP="00E12DEE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Style w:val="Forte"/>
          <w:rFonts w:ascii="Arial" w:hAnsi="Arial" w:cs="Arial"/>
          <w:sz w:val="20"/>
          <w:szCs w:val="20"/>
        </w:rPr>
        <w:t>Referências:</w:t>
      </w:r>
    </w:p>
    <w:p w14:paraId="12F15A44" w14:textId="77777777" w:rsidR="00E12DEE" w:rsidRPr="008D4853" w:rsidRDefault="00E12DEE" w:rsidP="00E12DEE">
      <w:pPr>
        <w:numPr>
          <w:ilvl w:val="0"/>
          <w:numId w:val="5"/>
        </w:numPr>
        <w:rPr>
          <w:rFonts w:ascii="Arial" w:eastAsia="Times New Roman" w:hAnsi="Arial" w:cs="Arial"/>
          <w:sz w:val="20"/>
          <w:szCs w:val="20"/>
        </w:rPr>
      </w:pPr>
      <w:proofErr w:type="spellStart"/>
      <w:r w:rsidRPr="008D4853">
        <w:rPr>
          <w:rFonts w:ascii="Arial" w:eastAsia="Times New Roman" w:hAnsi="Arial" w:cs="Arial"/>
          <w:sz w:val="20"/>
          <w:szCs w:val="20"/>
        </w:rPr>
        <w:t>Anaesthesia</w:t>
      </w:r>
      <w:proofErr w:type="spellEnd"/>
      <w:r w:rsidRPr="008D4853">
        <w:rPr>
          <w:rFonts w:ascii="Arial" w:eastAsia="Times New Roman" w:hAnsi="Arial" w:cs="Arial"/>
          <w:sz w:val="20"/>
          <w:szCs w:val="20"/>
        </w:rPr>
        <w:t xml:space="preserve"> 2020, 75, 1469–1475</w:t>
      </w:r>
    </w:p>
    <w:p w14:paraId="502094AE" w14:textId="77777777" w:rsidR="00E12DEE" w:rsidRPr="001A343E" w:rsidRDefault="00E12DEE" w:rsidP="00E12DEE">
      <w:pPr>
        <w:numPr>
          <w:ilvl w:val="0"/>
          <w:numId w:val="5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1A343E">
        <w:rPr>
          <w:rFonts w:ascii="Arial" w:eastAsia="Times New Roman" w:hAnsi="Arial" w:cs="Arial"/>
          <w:sz w:val="20"/>
          <w:szCs w:val="20"/>
          <w:lang w:val="en-US"/>
        </w:rPr>
        <w:t>J Allergy Clin Immunol. 2012 Sep;130(3):597-606</w:t>
      </w:r>
    </w:p>
    <w:p w14:paraId="0CF4B6F9" w14:textId="77777777" w:rsidR="00E12DEE" w:rsidRPr="008D4853" w:rsidRDefault="00E12DEE" w:rsidP="00E12DEE">
      <w:pPr>
        <w:rPr>
          <w:rFonts w:ascii="Arial" w:eastAsia="Times New Roman" w:hAnsi="Arial" w:cs="Arial"/>
          <w:sz w:val="20"/>
          <w:szCs w:val="20"/>
        </w:rPr>
      </w:pPr>
      <w:r w:rsidRPr="001A343E">
        <w:rPr>
          <w:rFonts w:ascii="Arial" w:eastAsia="Times New Roman" w:hAnsi="Arial" w:cs="Arial"/>
          <w:sz w:val="20"/>
          <w:szCs w:val="20"/>
          <w:lang w:val="en-US"/>
        </w:rPr>
        <w:br/>
      </w:r>
      <w:r w:rsidRPr="001A343E">
        <w:rPr>
          <w:rFonts w:ascii="Arial" w:eastAsia="Times New Roman" w:hAnsi="Arial" w:cs="Arial"/>
          <w:sz w:val="20"/>
          <w:szCs w:val="20"/>
          <w:lang w:val="en-US"/>
        </w:rPr>
        <w:br/>
      </w:r>
      <w:r w:rsidRPr="001A343E">
        <w:rPr>
          <w:rFonts w:ascii="Arial" w:eastAsia="Times New Roman" w:hAnsi="Arial" w:cs="Arial"/>
          <w:sz w:val="20"/>
          <w:szCs w:val="20"/>
          <w:lang w:val="en-US"/>
        </w:rPr>
        <w:lastRenderedPageBreak/>
        <w:br/>
      </w:r>
      <w:r w:rsidRPr="008D4853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A17D672" wp14:editId="4F8A98DF">
            <wp:extent cx="5707380" cy="6286500"/>
            <wp:effectExtent l="0" t="0" r="7620" b="0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7380" cy="628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7E3CEF" w14:textId="1E6F99EC" w:rsidR="00FC35B8" w:rsidRPr="008008E2" w:rsidRDefault="00FC35B8" w:rsidP="00E12DEE">
      <w:pPr>
        <w:rPr>
          <w:rFonts w:ascii="Arial" w:eastAsia="Times New Roman" w:hAnsi="Arial" w:cs="Arial"/>
          <w:sz w:val="20"/>
          <w:szCs w:val="20"/>
        </w:rPr>
      </w:pPr>
    </w:p>
    <w:sectPr w:rsidR="00FC35B8" w:rsidRPr="008008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26A36"/>
    <w:multiLevelType w:val="multilevel"/>
    <w:tmpl w:val="DD800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101385"/>
    <w:multiLevelType w:val="multilevel"/>
    <w:tmpl w:val="3424D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663A95"/>
    <w:multiLevelType w:val="multilevel"/>
    <w:tmpl w:val="43C07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504FE3"/>
    <w:multiLevelType w:val="multilevel"/>
    <w:tmpl w:val="F01E2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444BA4"/>
    <w:multiLevelType w:val="multilevel"/>
    <w:tmpl w:val="3DB22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8669306">
    <w:abstractNumId w:val="0"/>
  </w:num>
  <w:num w:numId="2" w16cid:durableId="770324313">
    <w:abstractNumId w:val="1"/>
  </w:num>
  <w:num w:numId="3" w16cid:durableId="1787381973">
    <w:abstractNumId w:val="4"/>
  </w:num>
  <w:num w:numId="4" w16cid:durableId="1140810425">
    <w:abstractNumId w:val="3"/>
  </w:num>
  <w:num w:numId="5" w16cid:durableId="11801261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11"/>
    <w:rsid w:val="000D1133"/>
    <w:rsid w:val="001B6790"/>
    <w:rsid w:val="001C61FC"/>
    <w:rsid w:val="002938F9"/>
    <w:rsid w:val="00416AB4"/>
    <w:rsid w:val="0051787D"/>
    <w:rsid w:val="00670F9D"/>
    <w:rsid w:val="00674711"/>
    <w:rsid w:val="006C4C08"/>
    <w:rsid w:val="007D47C6"/>
    <w:rsid w:val="008008E2"/>
    <w:rsid w:val="00857D77"/>
    <w:rsid w:val="00BB1DFA"/>
    <w:rsid w:val="00C21AAC"/>
    <w:rsid w:val="00CA641B"/>
    <w:rsid w:val="00DC169D"/>
    <w:rsid w:val="00DC6FAA"/>
    <w:rsid w:val="00E12DEE"/>
    <w:rsid w:val="00E95347"/>
    <w:rsid w:val="00EB4799"/>
    <w:rsid w:val="00EC1DCB"/>
    <w:rsid w:val="00ED0C35"/>
    <w:rsid w:val="00FC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7DAB8"/>
  <w15:chartTrackingRefBased/>
  <w15:docId w15:val="{76A79111-DD88-4EC4-9429-17E65B513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711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t-PT"/>
      <w14:ligatures w14:val="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4711"/>
    <w:pPr>
      <w:spacing w:before="100" w:beforeAutospacing="1" w:after="100" w:afterAutospacing="1"/>
    </w:pPr>
  </w:style>
  <w:style w:type="character" w:styleId="Forte">
    <w:name w:val="Strong"/>
    <w:basedOn w:val="Tipodeletrapredefinidodopargrafo"/>
    <w:uiPriority w:val="22"/>
    <w:qFormat/>
    <w:rsid w:val="00674711"/>
    <w:rPr>
      <w:b/>
      <w:bCs/>
    </w:rPr>
  </w:style>
  <w:style w:type="character" w:styleId="nfase">
    <w:name w:val="Emphasis"/>
    <w:basedOn w:val="Tipodeletrapredefinidodopargrafo"/>
    <w:uiPriority w:val="20"/>
    <w:qFormat/>
    <w:rsid w:val="00674711"/>
    <w:rPr>
      <w:i/>
      <w:iCs/>
    </w:rPr>
  </w:style>
  <w:style w:type="character" w:styleId="Hiperligao">
    <w:name w:val="Hyperlink"/>
    <w:basedOn w:val="Tipodeletrapredefinidodopargrafo"/>
    <w:uiPriority w:val="99"/>
    <w:semiHidden/>
    <w:unhideWhenUsed/>
    <w:rsid w:val="00C21A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2749</Characters>
  <Application>Microsoft Office Word</Application>
  <DocSecurity>0</DocSecurity>
  <Lines>22</Lines>
  <Paragraphs>6</Paragraphs>
  <ScaleCrop>false</ScaleCrop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Ferreira</dc:creator>
  <cp:keywords/>
  <dc:description/>
  <cp:lastModifiedBy>Raquel Ferreira</cp:lastModifiedBy>
  <cp:revision>2</cp:revision>
  <dcterms:created xsi:type="dcterms:W3CDTF">2023-03-15T15:04:00Z</dcterms:created>
  <dcterms:modified xsi:type="dcterms:W3CDTF">2023-03-15T15:04:00Z</dcterms:modified>
</cp:coreProperties>
</file>