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9AD4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 xml:space="preserve">PO14 </w:t>
      </w:r>
      <w:r w:rsidRPr="008D4853">
        <w:rPr>
          <w:rStyle w:val="Forte"/>
          <w:rFonts w:ascii="Arial" w:hAnsi="Arial" w:cs="Arial"/>
          <w:sz w:val="20"/>
          <w:szCs w:val="20"/>
        </w:rPr>
        <w:t>BLOQUEIO DA FASCIA ILÍACA SUPRAINGUINAL: UMA OPÇÃO ANESTÉSICA NA CIRURGIA DE AMPUTAÇÃO TRANSFEMORAL</w:t>
      </w:r>
    </w:p>
    <w:p w14:paraId="1165B739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Ana Sofia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Pinto(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Rita Lopes Dinis(1); André Delgado(1); Marta Pereira(1); Ana Faísco(1)</w:t>
      </w:r>
    </w:p>
    <w:p w14:paraId="0632B118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Hospital Prof. Doutor Fernando Fonseca </w:t>
      </w:r>
    </w:p>
    <w:p w14:paraId="61C09FB6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5BBF996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Introdução</w:t>
      </w:r>
    </w:p>
    <w:p w14:paraId="0762BBA0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       O bloqueio da </w:t>
      </w:r>
      <w:proofErr w:type="spellStart"/>
      <w:r w:rsidRPr="008D4853">
        <w:rPr>
          <w:rFonts w:ascii="Arial" w:hAnsi="Arial" w:cs="Arial"/>
          <w:sz w:val="20"/>
          <w:szCs w:val="20"/>
        </w:rPr>
        <w:t>fascia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ilíaca </w:t>
      </w:r>
      <w:proofErr w:type="spellStart"/>
      <w:r w:rsidRPr="008D4853">
        <w:rPr>
          <w:rFonts w:ascii="Arial" w:hAnsi="Arial" w:cs="Arial"/>
          <w:sz w:val="20"/>
          <w:szCs w:val="20"/>
        </w:rPr>
        <w:t>suprainguinal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constitui uma técnica regional bastante utilizada para analgesia da anca, coxa e joelho.</w:t>
      </w:r>
      <w:r w:rsidRPr="008D4853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8D4853">
        <w:rPr>
          <w:rFonts w:ascii="Arial" w:hAnsi="Arial" w:cs="Arial"/>
          <w:sz w:val="20"/>
          <w:szCs w:val="20"/>
        </w:rPr>
        <w:t>As principais indicações para a sua realização incluem analgesia peri-operatória no contexto de fratura do colo do fémur, cirurgia de anca ou joelho e amputação acima do joelho.</w:t>
      </w:r>
      <w:r w:rsidRPr="008D4853">
        <w:rPr>
          <w:rFonts w:ascii="Arial" w:hAnsi="Arial" w:cs="Arial"/>
          <w:sz w:val="20"/>
          <w:szCs w:val="20"/>
          <w:vertAlign w:val="superscript"/>
        </w:rPr>
        <w:t>2</w:t>
      </w:r>
      <w:r w:rsidRPr="008D4853">
        <w:rPr>
          <w:rFonts w:ascii="Arial" w:hAnsi="Arial" w:cs="Arial"/>
          <w:sz w:val="20"/>
          <w:szCs w:val="20"/>
        </w:rPr>
        <w:t xml:space="preserve"> Apesar da vasta evidência existente sobre o seu papel em contexto de analgesia peri-operatória, os relatos da sua utilização com o objetivo anestésico ainda são escassos.</w:t>
      </w:r>
      <w:r w:rsidRPr="008D4853">
        <w:rPr>
          <w:rFonts w:ascii="Arial" w:hAnsi="Arial" w:cs="Arial"/>
          <w:sz w:val="20"/>
          <w:szCs w:val="20"/>
          <w:vertAlign w:val="superscript"/>
        </w:rPr>
        <w:t>3</w:t>
      </w:r>
    </w:p>
    <w:p w14:paraId="71C48B37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         Neste caso clínico, pretende-se descrever a execução deste tipo de bloqueio como técnica anestésica principal numa doente em choque séptico, proposta para amputação </w:t>
      </w:r>
      <w:proofErr w:type="spellStart"/>
      <w:r w:rsidRPr="008D4853">
        <w:rPr>
          <w:rFonts w:ascii="Arial" w:hAnsi="Arial" w:cs="Arial"/>
          <w:sz w:val="20"/>
          <w:szCs w:val="20"/>
        </w:rPr>
        <w:t>transfemoral</w:t>
      </w:r>
      <w:proofErr w:type="spellEnd"/>
      <w:r w:rsidRPr="008D4853">
        <w:rPr>
          <w:rFonts w:ascii="Arial" w:hAnsi="Arial" w:cs="Arial"/>
          <w:sz w:val="20"/>
          <w:szCs w:val="20"/>
        </w:rPr>
        <w:t>. Nesta situação clínica, realça-se a sua potencial utilidade e eficácia como técnica anestésica.</w:t>
      </w:r>
    </w:p>
    <w:p w14:paraId="1C1DAFA0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Caso Clínico</w:t>
      </w:r>
    </w:p>
    <w:p w14:paraId="39E73D4E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      Doente do sexo feminino, 82 anos, ASA IVE, </w:t>
      </w:r>
      <w:proofErr w:type="gramStart"/>
      <w:r w:rsidRPr="008D4853">
        <w:rPr>
          <w:rFonts w:ascii="Arial" w:hAnsi="Arial" w:cs="Arial"/>
          <w:sz w:val="20"/>
          <w:szCs w:val="20"/>
        </w:rPr>
        <w:t>dependente</w:t>
      </w:r>
      <w:proofErr w:type="gramEnd"/>
      <w:r w:rsidRPr="008D4853">
        <w:rPr>
          <w:rFonts w:ascii="Arial" w:hAnsi="Arial" w:cs="Arial"/>
          <w:sz w:val="20"/>
          <w:szCs w:val="20"/>
        </w:rPr>
        <w:t xml:space="preserve"> mas cognitivamente íntegra, com antecedentes pessoais de hipertensão arterial, insuficiência cardíaca, doença arterial periférica e doença renal crónica. Internada pelo Serviço de Urgência por úlcera de grau IV infetada do membro inferior direito, com evolução para choque séptico (</w:t>
      </w:r>
      <w:proofErr w:type="spellStart"/>
      <w:r w:rsidRPr="008D4853">
        <w:rPr>
          <w:rFonts w:ascii="Arial" w:hAnsi="Arial" w:cs="Arial"/>
          <w:sz w:val="20"/>
          <w:szCs w:val="20"/>
        </w:rPr>
        <w:t>qSOFA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3) durante o internamento e proposta para amputação </w:t>
      </w:r>
      <w:proofErr w:type="spellStart"/>
      <w:r w:rsidRPr="008D4853">
        <w:rPr>
          <w:rFonts w:ascii="Arial" w:hAnsi="Arial" w:cs="Arial"/>
          <w:sz w:val="20"/>
          <w:szCs w:val="20"/>
        </w:rPr>
        <w:t>transfemoral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urgente. Procedeu-se a otimização pré-operatória com escalada de antibioterapia e ressuscitação </w:t>
      </w:r>
      <w:proofErr w:type="spellStart"/>
      <w:r w:rsidRPr="008D4853">
        <w:rPr>
          <w:rFonts w:ascii="Arial" w:hAnsi="Arial" w:cs="Arial"/>
          <w:sz w:val="20"/>
          <w:szCs w:val="20"/>
        </w:rPr>
        <w:t>volémica</w:t>
      </w:r>
      <w:proofErr w:type="spellEnd"/>
      <w:r w:rsidRPr="008D4853">
        <w:rPr>
          <w:rFonts w:ascii="Arial" w:hAnsi="Arial" w:cs="Arial"/>
          <w:sz w:val="20"/>
          <w:szCs w:val="20"/>
        </w:rPr>
        <w:t>.</w:t>
      </w:r>
    </w:p>
    <w:p w14:paraId="7727AB4E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           Como técnica anestésica, foi realizado um bloqueio da </w:t>
      </w:r>
      <w:proofErr w:type="spellStart"/>
      <w:r w:rsidRPr="008D4853">
        <w:rPr>
          <w:rFonts w:ascii="Arial" w:hAnsi="Arial" w:cs="Arial"/>
          <w:sz w:val="20"/>
          <w:szCs w:val="20"/>
        </w:rPr>
        <w:t>fascia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ilíaca </w:t>
      </w:r>
      <w:proofErr w:type="spellStart"/>
      <w:r w:rsidRPr="008D4853">
        <w:rPr>
          <w:rFonts w:ascii="Arial" w:hAnsi="Arial" w:cs="Arial"/>
          <w:sz w:val="20"/>
          <w:szCs w:val="20"/>
        </w:rPr>
        <w:t>suprainguinal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4853">
        <w:rPr>
          <w:rFonts w:ascii="Arial" w:hAnsi="Arial" w:cs="Arial"/>
          <w:sz w:val="20"/>
          <w:szCs w:val="20"/>
        </w:rPr>
        <w:t>ecoguiado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</w:t>
      </w:r>
      <w:r w:rsidRPr="008D4853">
        <w:rPr>
          <w:rStyle w:val="nfase"/>
          <w:rFonts w:ascii="Arial" w:hAnsi="Arial" w:cs="Arial"/>
          <w:sz w:val="20"/>
          <w:szCs w:val="20"/>
        </w:rPr>
        <w:t>single shot</w:t>
      </w:r>
      <w:r w:rsidRPr="008D4853">
        <w:rPr>
          <w:rFonts w:ascii="Arial" w:hAnsi="Arial" w:cs="Arial"/>
          <w:sz w:val="20"/>
          <w:szCs w:val="20"/>
        </w:rPr>
        <w:t xml:space="preserve">, com administração de </w:t>
      </w:r>
      <w:proofErr w:type="spellStart"/>
      <w:r w:rsidRPr="008D4853">
        <w:rPr>
          <w:rFonts w:ascii="Arial" w:hAnsi="Arial" w:cs="Arial"/>
          <w:sz w:val="20"/>
          <w:szCs w:val="20"/>
        </w:rPr>
        <w:t>Ropivacaína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0,5% 40 ml. Esta técnica regional foi complementada com </w:t>
      </w:r>
      <w:proofErr w:type="spellStart"/>
      <w:r w:rsidRPr="008D4853">
        <w:rPr>
          <w:rFonts w:ascii="Arial" w:hAnsi="Arial" w:cs="Arial"/>
          <w:sz w:val="20"/>
          <w:szCs w:val="20"/>
        </w:rPr>
        <w:t>sedoanalgesia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através de perfusão de Cetamina (0,125 mg/kg/h) e </w:t>
      </w:r>
      <w:proofErr w:type="spellStart"/>
      <w:r w:rsidRPr="008D4853">
        <w:rPr>
          <w:rFonts w:ascii="Arial" w:hAnsi="Arial" w:cs="Arial"/>
          <w:sz w:val="20"/>
          <w:szCs w:val="20"/>
        </w:rPr>
        <w:t>bólus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Fentanil (50 </w:t>
      </w:r>
      <w:proofErr w:type="spellStart"/>
      <w:r w:rsidRPr="008D4853">
        <w:rPr>
          <w:rFonts w:ascii="Arial" w:hAnsi="Arial" w:cs="Arial"/>
          <w:sz w:val="20"/>
          <w:szCs w:val="20"/>
        </w:rPr>
        <w:t>mcg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), tendo sido adequada para a execução cirúrgica. Durante o procedimento, objetivou-se agravamento da instabilidade hemodinâmica, com necessidade de início de suporte </w:t>
      </w:r>
      <w:proofErr w:type="spellStart"/>
      <w:r w:rsidRPr="008D4853">
        <w:rPr>
          <w:rFonts w:ascii="Arial" w:hAnsi="Arial" w:cs="Arial"/>
          <w:sz w:val="20"/>
          <w:szCs w:val="20"/>
        </w:rPr>
        <w:t>vasopressor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com Noradrenalina (dose máxima 0,5 </w:t>
      </w:r>
      <w:proofErr w:type="spellStart"/>
      <w:r w:rsidRPr="008D4853">
        <w:rPr>
          <w:rFonts w:ascii="Arial" w:hAnsi="Arial" w:cs="Arial"/>
          <w:sz w:val="20"/>
          <w:szCs w:val="20"/>
        </w:rPr>
        <w:t>mcg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/kg/min). No final da cirurgia, pela manutenção da disfunção de órgão com necessidade de aminas, foi transferida para a unidade de cuidados intensivos, onde manteve reposição </w:t>
      </w:r>
      <w:proofErr w:type="spellStart"/>
      <w:r w:rsidRPr="008D4853">
        <w:rPr>
          <w:rFonts w:ascii="Arial" w:hAnsi="Arial" w:cs="Arial"/>
          <w:sz w:val="20"/>
          <w:szCs w:val="20"/>
        </w:rPr>
        <w:t>volémica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antibiótica e efetuou desmame de suporte </w:t>
      </w:r>
      <w:proofErr w:type="spellStart"/>
      <w:r w:rsidRPr="008D4853">
        <w:rPr>
          <w:rFonts w:ascii="Arial" w:hAnsi="Arial" w:cs="Arial"/>
          <w:sz w:val="20"/>
          <w:szCs w:val="20"/>
        </w:rPr>
        <w:t>vasopressor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nas primeiras 24 horas, mantendo-se sempre em ventilação espontânea. Apresentou evolução favorável, tendo alta para enfermaria ao fim de três dias.</w:t>
      </w:r>
    </w:p>
    <w:p w14:paraId="47E3C499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Discussão</w:t>
      </w:r>
    </w:p>
    <w:p w14:paraId="07FA05C4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         O bloqueio da </w:t>
      </w:r>
      <w:proofErr w:type="spellStart"/>
      <w:r w:rsidRPr="008D4853">
        <w:rPr>
          <w:rFonts w:ascii="Arial" w:hAnsi="Arial" w:cs="Arial"/>
          <w:sz w:val="20"/>
          <w:szCs w:val="20"/>
        </w:rPr>
        <w:t>fascia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ilíaca </w:t>
      </w:r>
      <w:proofErr w:type="spellStart"/>
      <w:r w:rsidRPr="008D4853">
        <w:rPr>
          <w:rFonts w:ascii="Arial" w:hAnsi="Arial" w:cs="Arial"/>
          <w:sz w:val="20"/>
          <w:szCs w:val="20"/>
        </w:rPr>
        <w:t>suprainguinal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consiste na injeção de anestésico local abaixo da </w:t>
      </w:r>
      <w:proofErr w:type="spellStart"/>
      <w:r w:rsidRPr="008D4853">
        <w:rPr>
          <w:rFonts w:ascii="Arial" w:hAnsi="Arial" w:cs="Arial"/>
          <w:sz w:val="20"/>
          <w:szCs w:val="20"/>
        </w:rPr>
        <w:t>fascia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ilíaca, com o objetivo de bloquear simultaneamente os nervos femoral, obturador e cutâneo lateral de coxa. Assim, através do bloqueio destas estruturas do plexo lombar, pode ser utilizado com segurança como principal técnica anestésica em cirurgias que envolvam dermátomos correspondentes a esta inervação, desde que seja aplicado um volume relativamente grande (20-40 ml) de anestésico local, visto que é um bloqueio dependente de volume.</w:t>
      </w:r>
    </w:p>
    <w:p w14:paraId="1DBBDE10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           Desta forma, esta técnica regional pode ser uma opção anestésica segura e eficaz na cirurgia de amputação </w:t>
      </w:r>
      <w:proofErr w:type="spellStart"/>
      <w:r w:rsidRPr="008D4853">
        <w:rPr>
          <w:rFonts w:ascii="Arial" w:hAnsi="Arial" w:cs="Arial"/>
          <w:sz w:val="20"/>
          <w:szCs w:val="20"/>
        </w:rPr>
        <w:t>transfemoral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quando complementada com uma estratégia de </w:t>
      </w:r>
      <w:proofErr w:type="spellStart"/>
      <w:r w:rsidRPr="008D4853">
        <w:rPr>
          <w:rFonts w:ascii="Arial" w:hAnsi="Arial" w:cs="Arial"/>
          <w:sz w:val="20"/>
          <w:szCs w:val="20"/>
        </w:rPr>
        <w:t>sedoanalgesia</w:t>
      </w:r>
      <w:proofErr w:type="spellEnd"/>
      <w:r w:rsidRPr="008D4853">
        <w:rPr>
          <w:rFonts w:ascii="Arial" w:hAnsi="Arial" w:cs="Arial"/>
          <w:sz w:val="20"/>
          <w:szCs w:val="20"/>
        </w:rPr>
        <w:t>, atendendo ao facto de os dermátomos implicados na inervação da coxa não serem completamente cobertos por este bloqueio. Apresenta benefícios sobretudo no caso de doentes frágeis, evitando os riscos associados a anestesia geral ou abordagem do neuro-eixo. Adicionalmente, possui como vantagens o facto de não exigir posicionamento do doente, ser um bloqueio relativamente superficial e apresentar baixa probabilidade de lesão nervosa ou vascular.</w:t>
      </w:r>
    </w:p>
    <w:p w14:paraId="4B42C595" w14:textId="77777777" w:rsidR="00ED5DDA" w:rsidRPr="008D4853" w:rsidRDefault="00ED5DDA" w:rsidP="00ED5D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Referências</w:t>
      </w:r>
    </w:p>
    <w:p w14:paraId="5BA2C0B1" w14:textId="77777777" w:rsidR="00ED5DDA" w:rsidRPr="008D4853" w:rsidRDefault="00ED5DDA" w:rsidP="00ED5DDA">
      <w:pPr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Style w:val="nfase"/>
          <w:rFonts w:ascii="Arial" w:eastAsia="Times New Roman" w:hAnsi="Arial" w:cs="Arial"/>
          <w:color w:val="000000"/>
          <w:sz w:val="20"/>
          <w:szCs w:val="20"/>
        </w:rPr>
        <w:t>Anaesthesia</w:t>
      </w:r>
      <w:proofErr w:type="spellEnd"/>
      <w:r w:rsidRPr="008D4853">
        <w:rPr>
          <w:rFonts w:ascii="Arial" w:eastAsia="Times New Roman" w:hAnsi="Arial" w:cs="Arial"/>
          <w:color w:val="000000"/>
          <w:sz w:val="20"/>
          <w:szCs w:val="20"/>
        </w:rPr>
        <w:t>. 2011; 66: 300-305</w:t>
      </w:r>
    </w:p>
    <w:p w14:paraId="0DC71ECB" w14:textId="77777777" w:rsidR="00ED5DDA" w:rsidRPr="008D4853" w:rsidRDefault="00ED5DDA" w:rsidP="00ED5DDA">
      <w:pPr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Style w:val="nfase"/>
          <w:rFonts w:ascii="Arial" w:eastAsia="Times New Roman" w:hAnsi="Arial" w:cs="Arial"/>
          <w:color w:val="000000"/>
          <w:sz w:val="20"/>
          <w:szCs w:val="20"/>
        </w:rPr>
        <w:t xml:space="preserve">BJA </w:t>
      </w:r>
      <w:proofErr w:type="spellStart"/>
      <w:r w:rsidRPr="008D4853">
        <w:rPr>
          <w:rStyle w:val="nfase"/>
          <w:rFonts w:ascii="Arial" w:eastAsia="Times New Roman" w:hAnsi="Arial" w:cs="Arial"/>
          <w:color w:val="000000"/>
          <w:sz w:val="20"/>
          <w:szCs w:val="20"/>
        </w:rPr>
        <w:t>Education</w:t>
      </w:r>
      <w:proofErr w:type="spellEnd"/>
      <w:r w:rsidRPr="008D4853">
        <w:rPr>
          <w:rFonts w:ascii="Arial" w:eastAsia="Times New Roman" w:hAnsi="Arial" w:cs="Arial"/>
          <w:color w:val="000000"/>
          <w:sz w:val="20"/>
          <w:szCs w:val="20"/>
        </w:rPr>
        <w:t>. 2019; 19(6): 191-197</w:t>
      </w:r>
    </w:p>
    <w:p w14:paraId="2AF51914" w14:textId="77777777" w:rsidR="00ED5DDA" w:rsidRPr="001A343E" w:rsidRDefault="00ED5DDA" w:rsidP="00ED5DDA">
      <w:pPr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1A343E">
        <w:rPr>
          <w:rStyle w:val="nfase"/>
          <w:rFonts w:ascii="Arial" w:eastAsia="Times New Roman" w:hAnsi="Arial" w:cs="Arial"/>
          <w:color w:val="000000"/>
          <w:sz w:val="20"/>
          <w:szCs w:val="20"/>
          <w:lang w:val="en-US"/>
        </w:rPr>
        <w:t xml:space="preserve">Reg </w:t>
      </w:r>
      <w:proofErr w:type="spellStart"/>
      <w:r w:rsidRPr="001A343E">
        <w:rPr>
          <w:rStyle w:val="nfase"/>
          <w:rFonts w:ascii="Arial" w:eastAsia="Times New Roman" w:hAnsi="Arial" w:cs="Arial"/>
          <w:color w:val="000000"/>
          <w:sz w:val="20"/>
          <w:szCs w:val="20"/>
          <w:lang w:val="en-US"/>
        </w:rPr>
        <w:t>Anesth</w:t>
      </w:r>
      <w:proofErr w:type="spellEnd"/>
      <w:r w:rsidRPr="001A343E">
        <w:rPr>
          <w:rStyle w:val="nfase"/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Pain Med</w:t>
      </w:r>
      <w:r w:rsidRPr="001A343E">
        <w:rPr>
          <w:rFonts w:ascii="Arial" w:eastAsia="Times New Roman" w:hAnsi="Arial" w:cs="Arial"/>
          <w:color w:val="000000"/>
          <w:sz w:val="20"/>
          <w:szCs w:val="20"/>
          <w:lang w:val="en-US"/>
        </w:rPr>
        <w:t>. 2022; 47(Suppl 1): A1–A315</w:t>
      </w:r>
    </w:p>
    <w:p w14:paraId="17CFEB1C" w14:textId="77777777" w:rsidR="00ED5DDA" w:rsidRPr="008D4853" w:rsidRDefault="00ED5DDA" w:rsidP="00ED5DDA">
      <w:pPr>
        <w:rPr>
          <w:rFonts w:ascii="Arial" w:eastAsia="Times New Roman" w:hAnsi="Arial" w:cs="Arial"/>
          <w:sz w:val="20"/>
          <w:szCs w:val="20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lastRenderedPageBreak/>
        <w:br/>
      </w:r>
      <w:r w:rsidRPr="001A343E">
        <w:rPr>
          <w:rFonts w:ascii="Arial" w:eastAsia="Times New Roman" w:hAnsi="Arial" w:cs="Arial"/>
          <w:sz w:val="20"/>
          <w:szCs w:val="20"/>
          <w:lang w:val="en-US"/>
        </w:rPr>
        <w:br/>
      </w:r>
      <w:r w:rsidRPr="008D485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04E371" wp14:editId="3F967204">
            <wp:extent cx="3589020" cy="478536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3CEF" w14:textId="3295A356" w:rsidR="00FC35B8" w:rsidRPr="004277A8" w:rsidRDefault="00FC35B8" w:rsidP="00ED5DDA">
      <w:pPr>
        <w:pStyle w:val="NormalWeb"/>
        <w:spacing w:before="0" w:beforeAutospacing="0" w:after="0" w:afterAutospacing="0"/>
      </w:pPr>
    </w:p>
    <w:sectPr w:rsidR="00FC35B8" w:rsidRPr="00427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7"/>
  </w:num>
  <w:num w:numId="4" w16cid:durableId="1140810425">
    <w:abstractNumId w:val="5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4"/>
  </w:num>
  <w:num w:numId="8" w16cid:durableId="1755978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2938F9"/>
    <w:rsid w:val="00416AB4"/>
    <w:rsid w:val="004277A8"/>
    <w:rsid w:val="0051787D"/>
    <w:rsid w:val="00630D4C"/>
    <w:rsid w:val="00670F9D"/>
    <w:rsid w:val="00674711"/>
    <w:rsid w:val="006C4C08"/>
    <w:rsid w:val="007D47C6"/>
    <w:rsid w:val="008008E2"/>
    <w:rsid w:val="00801562"/>
    <w:rsid w:val="00857D77"/>
    <w:rsid w:val="00B82B6F"/>
    <w:rsid w:val="00B84238"/>
    <w:rsid w:val="00B90F58"/>
    <w:rsid w:val="00BB1DFA"/>
    <w:rsid w:val="00C21AAC"/>
    <w:rsid w:val="00C9498A"/>
    <w:rsid w:val="00CA291A"/>
    <w:rsid w:val="00CA641B"/>
    <w:rsid w:val="00DC169D"/>
    <w:rsid w:val="00DC6FAA"/>
    <w:rsid w:val="00E12DEE"/>
    <w:rsid w:val="00E95347"/>
    <w:rsid w:val="00EB4799"/>
    <w:rsid w:val="00EC1DCB"/>
    <w:rsid w:val="00ED0C35"/>
    <w:rsid w:val="00ED5DDA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2023-03-15T15:08:00Z</dcterms:created>
  <dcterms:modified xsi:type="dcterms:W3CDTF">2023-03-15T15:08:00Z</dcterms:modified>
</cp:coreProperties>
</file>