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99AD4" w14:textId="77777777" w:rsidR="00ED5DDA" w:rsidRPr="008D4853" w:rsidRDefault="00ED5DDA" w:rsidP="00ED5DDA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Style w:val="Forte"/>
          <w:rFonts w:ascii="Arial" w:hAnsi="Arial" w:cs="Arial"/>
          <w:sz w:val="20"/>
          <w:szCs w:val="20"/>
        </w:rPr>
        <w:t xml:space="preserve">PO14 </w:t>
      </w:r>
      <w:r w:rsidRPr="008D4853">
        <w:rPr>
          <w:rStyle w:val="Forte"/>
          <w:rFonts w:ascii="Arial" w:hAnsi="Arial" w:cs="Arial"/>
          <w:sz w:val="20"/>
          <w:szCs w:val="20"/>
        </w:rPr>
        <w:t>BLOQUEIO DA FASCIA ILÍACA SUPRAINGUINAL: UMA OPÇÃO ANESTÉSICA NA CIRURGIA DE AMPUTAÇÃO TRANSFEMORAL</w:t>
      </w:r>
    </w:p>
    <w:p w14:paraId="1165B739" w14:textId="77777777" w:rsidR="00ED5DDA" w:rsidRPr="008D4853" w:rsidRDefault="00ED5DDA" w:rsidP="00ED5DDA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D4853">
        <w:rPr>
          <w:rStyle w:val="nfase"/>
          <w:rFonts w:ascii="Arial" w:hAnsi="Arial" w:cs="Arial"/>
          <w:sz w:val="20"/>
          <w:szCs w:val="20"/>
        </w:rPr>
        <w:t xml:space="preserve">Ana Sofia </w:t>
      </w:r>
      <w:proofErr w:type="gramStart"/>
      <w:r w:rsidRPr="008D4853">
        <w:rPr>
          <w:rStyle w:val="nfase"/>
          <w:rFonts w:ascii="Arial" w:hAnsi="Arial" w:cs="Arial"/>
          <w:sz w:val="20"/>
          <w:szCs w:val="20"/>
        </w:rPr>
        <w:t>Pinto(</w:t>
      </w:r>
      <w:proofErr w:type="gramEnd"/>
      <w:r w:rsidRPr="008D4853">
        <w:rPr>
          <w:rStyle w:val="nfase"/>
          <w:rFonts w:ascii="Arial" w:hAnsi="Arial" w:cs="Arial"/>
          <w:sz w:val="20"/>
          <w:szCs w:val="20"/>
        </w:rPr>
        <w:t>1); Rita Lopes Dinis(1); André Delgado(1); Marta Pereira(1); Ana Faísco(1)</w:t>
      </w:r>
    </w:p>
    <w:p w14:paraId="0632B118" w14:textId="77777777" w:rsidR="00ED5DDA" w:rsidRPr="008D4853" w:rsidRDefault="00ED5DDA" w:rsidP="00ED5DDA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D4853">
        <w:rPr>
          <w:rStyle w:val="nfase"/>
          <w:rFonts w:ascii="Arial" w:hAnsi="Arial" w:cs="Arial"/>
          <w:sz w:val="20"/>
          <w:szCs w:val="20"/>
        </w:rPr>
        <w:t xml:space="preserve">(1) Hospital Prof. Doutor Fernando Fonseca </w:t>
      </w:r>
    </w:p>
    <w:p w14:paraId="61C09FB6" w14:textId="77777777" w:rsidR="00ED5DDA" w:rsidRPr="008D4853" w:rsidRDefault="00ED5DDA" w:rsidP="00ED5DDA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D4853">
        <w:rPr>
          <w:rFonts w:ascii="Arial" w:hAnsi="Arial" w:cs="Arial"/>
          <w:sz w:val="20"/>
          <w:szCs w:val="20"/>
        </w:rPr>
        <w:t> </w:t>
      </w:r>
    </w:p>
    <w:p w14:paraId="35BBF996" w14:textId="77777777" w:rsidR="00ED5DDA" w:rsidRPr="008D4853" w:rsidRDefault="00ED5DDA" w:rsidP="00ED5DDA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D4853">
        <w:rPr>
          <w:rStyle w:val="Forte"/>
          <w:rFonts w:ascii="Arial" w:hAnsi="Arial" w:cs="Arial"/>
          <w:sz w:val="20"/>
          <w:szCs w:val="20"/>
        </w:rPr>
        <w:t>Introdução</w:t>
      </w:r>
    </w:p>
    <w:p w14:paraId="0762BBA0" w14:textId="77777777" w:rsidR="00ED5DDA" w:rsidRPr="008D4853" w:rsidRDefault="00ED5DDA" w:rsidP="00ED5DDA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D4853">
        <w:rPr>
          <w:rFonts w:ascii="Arial" w:hAnsi="Arial" w:cs="Arial"/>
          <w:sz w:val="20"/>
          <w:szCs w:val="20"/>
        </w:rPr>
        <w:t xml:space="preserve">       O bloqueio da </w:t>
      </w:r>
      <w:proofErr w:type="spellStart"/>
      <w:r w:rsidRPr="008D4853">
        <w:rPr>
          <w:rFonts w:ascii="Arial" w:hAnsi="Arial" w:cs="Arial"/>
          <w:sz w:val="20"/>
          <w:szCs w:val="20"/>
        </w:rPr>
        <w:t>fascia</w:t>
      </w:r>
      <w:proofErr w:type="spellEnd"/>
      <w:r w:rsidRPr="008D4853">
        <w:rPr>
          <w:rFonts w:ascii="Arial" w:hAnsi="Arial" w:cs="Arial"/>
          <w:sz w:val="20"/>
          <w:szCs w:val="20"/>
        </w:rPr>
        <w:t xml:space="preserve"> ilíaca </w:t>
      </w:r>
      <w:proofErr w:type="spellStart"/>
      <w:r w:rsidRPr="008D4853">
        <w:rPr>
          <w:rFonts w:ascii="Arial" w:hAnsi="Arial" w:cs="Arial"/>
          <w:sz w:val="20"/>
          <w:szCs w:val="20"/>
        </w:rPr>
        <w:t>suprainguinal</w:t>
      </w:r>
      <w:proofErr w:type="spellEnd"/>
      <w:r w:rsidRPr="008D4853">
        <w:rPr>
          <w:rFonts w:ascii="Arial" w:hAnsi="Arial" w:cs="Arial"/>
          <w:sz w:val="20"/>
          <w:szCs w:val="20"/>
        </w:rPr>
        <w:t xml:space="preserve"> constitui uma técnica regional bastante utilizada para analgesia da anca, coxa e joelho.</w:t>
      </w:r>
      <w:r w:rsidRPr="008D4853">
        <w:rPr>
          <w:rFonts w:ascii="Arial" w:hAnsi="Arial" w:cs="Arial"/>
          <w:sz w:val="20"/>
          <w:szCs w:val="20"/>
          <w:vertAlign w:val="superscript"/>
        </w:rPr>
        <w:t xml:space="preserve">1 </w:t>
      </w:r>
      <w:r w:rsidRPr="008D4853">
        <w:rPr>
          <w:rFonts w:ascii="Arial" w:hAnsi="Arial" w:cs="Arial"/>
          <w:sz w:val="20"/>
          <w:szCs w:val="20"/>
        </w:rPr>
        <w:t>As principais indicações para a sua realização incluem analgesia peri-operatória no contexto de fratura do colo do fémur, cirurgia de anca ou joelho e amputação acima do joelho.</w:t>
      </w:r>
      <w:r w:rsidRPr="008D4853">
        <w:rPr>
          <w:rFonts w:ascii="Arial" w:hAnsi="Arial" w:cs="Arial"/>
          <w:sz w:val="20"/>
          <w:szCs w:val="20"/>
          <w:vertAlign w:val="superscript"/>
        </w:rPr>
        <w:t>2</w:t>
      </w:r>
      <w:r w:rsidRPr="008D4853">
        <w:rPr>
          <w:rFonts w:ascii="Arial" w:hAnsi="Arial" w:cs="Arial"/>
          <w:sz w:val="20"/>
          <w:szCs w:val="20"/>
        </w:rPr>
        <w:t xml:space="preserve"> Apesar da vasta evidência existente sobre o seu papel em contexto de analgesia peri-operatória, os relatos da sua utilização com o objetivo anestésico ainda são escassos.</w:t>
      </w:r>
      <w:r w:rsidRPr="008D4853">
        <w:rPr>
          <w:rFonts w:ascii="Arial" w:hAnsi="Arial" w:cs="Arial"/>
          <w:sz w:val="20"/>
          <w:szCs w:val="20"/>
          <w:vertAlign w:val="superscript"/>
        </w:rPr>
        <w:t>3</w:t>
      </w:r>
    </w:p>
    <w:p w14:paraId="71C48B37" w14:textId="77777777" w:rsidR="00ED5DDA" w:rsidRPr="008D4853" w:rsidRDefault="00ED5DDA" w:rsidP="00ED5DDA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D4853">
        <w:rPr>
          <w:rFonts w:ascii="Arial" w:hAnsi="Arial" w:cs="Arial"/>
          <w:sz w:val="20"/>
          <w:szCs w:val="20"/>
        </w:rPr>
        <w:t xml:space="preserve">         Neste caso clínico, pretende-se descrever a execução deste tipo de bloqueio como técnica anestésica principal numa doente em choque séptico, proposta para amputação </w:t>
      </w:r>
      <w:proofErr w:type="spellStart"/>
      <w:r w:rsidRPr="008D4853">
        <w:rPr>
          <w:rFonts w:ascii="Arial" w:hAnsi="Arial" w:cs="Arial"/>
          <w:sz w:val="20"/>
          <w:szCs w:val="20"/>
        </w:rPr>
        <w:t>transfemoral</w:t>
      </w:r>
      <w:proofErr w:type="spellEnd"/>
      <w:r w:rsidRPr="008D4853">
        <w:rPr>
          <w:rFonts w:ascii="Arial" w:hAnsi="Arial" w:cs="Arial"/>
          <w:sz w:val="20"/>
          <w:szCs w:val="20"/>
        </w:rPr>
        <w:t>. Nesta situação clínica, realça-se a sua potencial utilidade e eficácia como técnica anestésica.</w:t>
      </w:r>
    </w:p>
    <w:p w14:paraId="1C1DAFA0" w14:textId="77777777" w:rsidR="00ED5DDA" w:rsidRPr="008D4853" w:rsidRDefault="00ED5DDA" w:rsidP="00ED5DDA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D4853">
        <w:rPr>
          <w:rStyle w:val="Forte"/>
          <w:rFonts w:ascii="Arial" w:hAnsi="Arial" w:cs="Arial"/>
          <w:sz w:val="20"/>
          <w:szCs w:val="20"/>
        </w:rPr>
        <w:t>Caso Clínico</w:t>
      </w:r>
    </w:p>
    <w:p w14:paraId="39E73D4E" w14:textId="77777777" w:rsidR="00ED5DDA" w:rsidRPr="008D4853" w:rsidRDefault="00ED5DDA" w:rsidP="00ED5DDA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D4853">
        <w:rPr>
          <w:rFonts w:ascii="Arial" w:hAnsi="Arial" w:cs="Arial"/>
          <w:sz w:val="20"/>
          <w:szCs w:val="20"/>
        </w:rPr>
        <w:t xml:space="preserve">      Doente do sexo feminino, 82 anos, ASA IVE, </w:t>
      </w:r>
      <w:proofErr w:type="gramStart"/>
      <w:r w:rsidRPr="008D4853">
        <w:rPr>
          <w:rFonts w:ascii="Arial" w:hAnsi="Arial" w:cs="Arial"/>
          <w:sz w:val="20"/>
          <w:szCs w:val="20"/>
        </w:rPr>
        <w:t>dependente</w:t>
      </w:r>
      <w:proofErr w:type="gramEnd"/>
      <w:r w:rsidRPr="008D4853">
        <w:rPr>
          <w:rFonts w:ascii="Arial" w:hAnsi="Arial" w:cs="Arial"/>
          <w:sz w:val="20"/>
          <w:szCs w:val="20"/>
        </w:rPr>
        <w:t xml:space="preserve"> mas cognitivamente íntegra, com antecedentes pessoais de hipertensão arterial, insuficiência cardíaca, doença arterial periférica e doença renal crónica. Internada pelo Serviço de Urgência por úlcera de grau IV infetada do membro inferior direito, com evolução para choque séptico (</w:t>
      </w:r>
      <w:proofErr w:type="spellStart"/>
      <w:r w:rsidRPr="008D4853">
        <w:rPr>
          <w:rFonts w:ascii="Arial" w:hAnsi="Arial" w:cs="Arial"/>
          <w:sz w:val="20"/>
          <w:szCs w:val="20"/>
        </w:rPr>
        <w:t>qSOFA</w:t>
      </w:r>
      <w:proofErr w:type="spellEnd"/>
      <w:r w:rsidRPr="008D4853">
        <w:rPr>
          <w:rFonts w:ascii="Arial" w:hAnsi="Arial" w:cs="Arial"/>
          <w:sz w:val="20"/>
          <w:szCs w:val="20"/>
        </w:rPr>
        <w:t xml:space="preserve"> 3) durante o internamento e proposta para amputação </w:t>
      </w:r>
      <w:proofErr w:type="spellStart"/>
      <w:r w:rsidRPr="008D4853">
        <w:rPr>
          <w:rFonts w:ascii="Arial" w:hAnsi="Arial" w:cs="Arial"/>
          <w:sz w:val="20"/>
          <w:szCs w:val="20"/>
        </w:rPr>
        <w:t>transfemoral</w:t>
      </w:r>
      <w:proofErr w:type="spellEnd"/>
      <w:r w:rsidRPr="008D4853">
        <w:rPr>
          <w:rFonts w:ascii="Arial" w:hAnsi="Arial" w:cs="Arial"/>
          <w:sz w:val="20"/>
          <w:szCs w:val="20"/>
        </w:rPr>
        <w:t xml:space="preserve"> urgente. Procedeu-se a otimização pré-operatória com escalada de antibioterapia e ressuscitação </w:t>
      </w:r>
      <w:proofErr w:type="spellStart"/>
      <w:r w:rsidRPr="008D4853">
        <w:rPr>
          <w:rFonts w:ascii="Arial" w:hAnsi="Arial" w:cs="Arial"/>
          <w:sz w:val="20"/>
          <w:szCs w:val="20"/>
        </w:rPr>
        <w:t>volémica</w:t>
      </w:r>
      <w:proofErr w:type="spellEnd"/>
      <w:r w:rsidRPr="008D4853">
        <w:rPr>
          <w:rFonts w:ascii="Arial" w:hAnsi="Arial" w:cs="Arial"/>
          <w:sz w:val="20"/>
          <w:szCs w:val="20"/>
        </w:rPr>
        <w:t>.</w:t>
      </w:r>
    </w:p>
    <w:p w14:paraId="7727AB4E" w14:textId="77777777" w:rsidR="00ED5DDA" w:rsidRPr="008D4853" w:rsidRDefault="00ED5DDA" w:rsidP="00ED5DDA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D4853">
        <w:rPr>
          <w:rFonts w:ascii="Arial" w:hAnsi="Arial" w:cs="Arial"/>
          <w:sz w:val="20"/>
          <w:szCs w:val="20"/>
        </w:rPr>
        <w:t xml:space="preserve">           Como técnica anestésica, foi realizado um bloqueio da </w:t>
      </w:r>
      <w:proofErr w:type="spellStart"/>
      <w:r w:rsidRPr="008D4853">
        <w:rPr>
          <w:rFonts w:ascii="Arial" w:hAnsi="Arial" w:cs="Arial"/>
          <w:sz w:val="20"/>
          <w:szCs w:val="20"/>
        </w:rPr>
        <w:t>fascia</w:t>
      </w:r>
      <w:proofErr w:type="spellEnd"/>
      <w:r w:rsidRPr="008D4853">
        <w:rPr>
          <w:rFonts w:ascii="Arial" w:hAnsi="Arial" w:cs="Arial"/>
          <w:sz w:val="20"/>
          <w:szCs w:val="20"/>
        </w:rPr>
        <w:t xml:space="preserve"> ilíaca </w:t>
      </w:r>
      <w:proofErr w:type="spellStart"/>
      <w:r w:rsidRPr="008D4853">
        <w:rPr>
          <w:rFonts w:ascii="Arial" w:hAnsi="Arial" w:cs="Arial"/>
          <w:sz w:val="20"/>
          <w:szCs w:val="20"/>
        </w:rPr>
        <w:t>suprainguinal</w:t>
      </w:r>
      <w:proofErr w:type="spellEnd"/>
      <w:r w:rsidRPr="008D485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D4853">
        <w:rPr>
          <w:rFonts w:ascii="Arial" w:hAnsi="Arial" w:cs="Arial"/>
          <w:sz w:val="20"/>
          <w:szCs w:val="20"/>
        </w:rPr>
        <w:t>ecoguiado</w:t>
      </w:r>
      <w:proofErr w:type="spellEnd"/>
      <w:r w:rsidRPr="008D4853">
        <w:rPr>
          <w:rFonts w:ascii="Arial" w:hAnsi="Arial" w:cs="Arial"/>
          <w:sz w:val="20"/>
          <w:szCs w:val="20"/>
        </w:rPr>
        <w:t xml:space="preserve">, </w:t>
      </w:r>
      <w:r w:rsidRPr="008D4853">
        <w:rPr>
          <w:rStyle w:val="nfase"/>
          <w:rFonts w:ascii="Arial" w:hAnsi="Arial" w:cs="Arial"/>
          <w:sz w:val="20"/>
          <w:szCs w:val="20"/>
        </w:rPr>
        <w:t>single shot</w:t>
      </w:r>
      <w:r w:rsidRPr="008D4853">
        <w:rPr>
          <w:rFonts w:ascii="Arial" w:hAnsi="Arial" w:cs="Arial"/>
          <w:sz w:val="20"/>
          <w:szCs w:val="20"/>
        </w:rPr>
        <w:t xml:space="preserve">, com administração de </w:t>
      </w:r>
      <w:proofErr w:type="spellStart"/>
      <w:r w:rsidRPr="008D4853">
        <w:rPr>
          <w:rFonts w:ascii="Arial" w:hAnsi="Arial" w:cs="Arial"/>
          <w:sz w:val="20"/>
          <w:szCs w:val="20"/>
        </w:rPr>
        <w:t>Ropivacaína</w:t>
      </w:r>
      <w:proofErr w:type="spellEnd"/>
      <w:r w:rsidRPr="008D4853">
        <w:rPr>
          <w:rFonts w:ascii="Arial" w:hAnsi="Arial" w:cs="Arial"/>
          <w:sz w:val="20"/>
          <w:szCs w:val="20"/>
        </w:rPr>
        <w:t xml:space="preserve"> 0,5% 40 ml. Esta técnica regional foi complementada com </w:t>
      </w:r>
      <w:proofErr w:type="spellStart"/>
      <w:r w:rsidRPr="008D4853">
        <w:rPr>
          <w:rFonts w:ascii="Arial" w:hAnsi="Arial" w:cs="Arial"/>
          <w:sz w:val="20"/>
          <w:szCs w:val="20"/>
        </w:rPr>
        <w:t>sedoanalgesia</w:t>
      </w:r>
      <w:proofErr w:type="spellEnd"/>
      <w:r w:rsidRPr="008D4853">
        <w:rPr>
          <w:rFonts w:ascii="Arial" w:hAnsi="Arial" w:cs="Arial"/>
          <w:sz w:val="20"/>
          <w:szCs w:val="20"/>
        </w:rPr>
        <w:t xml:space="preserve">, através de perfusão de Cetamina (0,125 mg/kg/h) e </w:t>
      </w:r>
      <w:proofErr w:type="spellStart"/>
      <w:r w:rsidRPr="008D4853">
        <w:rPr>
          <w:rFonts w:ascii="Arial" w:hAnsi="Arial" w:cs="Arial"/>
          <w:sz w:val="20"/>
          <w:szCs w:val="20"/>
        </w:rPr>
        <w:t>bólus</w:t>
      </w:r>
      <w:proofErr w:type="spellEnd"/>
      <w:r w:rsidRPr="008D4853">
        <w:rPr>
          <w:rFonts w:ascii="Arial" w:hAnsi="Arial" w:cs="Arial"/>
          <w:sz w:val="20"/>
          <w:szCs w:val="20"/>
        </w:rPr>
        <w:t xml:space="preserve"> de Fentanil (50 </w:t>
      </w:r>
      <w:proofErr w:type="spellStart"/>
      <w:r w:rsidRPr="008D4853">
        <w:rPr>
          <w:rFonts w:ascii="Arial" w:hAnsi="Arial" w:cs="Arial"/>
          <w:sz w:val="20"/>
          <w:szCs w:val="20"/>
        </w:rPr>
        <w:t>mcg</w:t>
      </w:r>
      <w:proofErr w:type="spellEnd"/>
      <w:r w:rsidRPr="008D4853">
        <w:rPr>
          <w:rFonts w:ascii="Arial" w:hAnsi="Arial" w:cs="Arial"/>
          <w:sz w:val="20"/>
          <w:szCs w:val="20"/>
        </w:rPr>
        <w:t xml:space="preserve">), tendo sido adequada para a execução cirúrgica. Durante o procedimento, objetivou-se agravamento da instabilidade hemodinâmica, com necessidade de início de suporte </w:t>
      </w:r>
      <w:proofErr w:type="spellStart"/>
      <w:r w:rsidRPr="008D4853">
        <w:rPr>
          <w:rFonts w:ascii="Arial" w:hAnsi="Arial" w:cs="Arial"/>
          <w:sz w:val="20"/>
          <w:szCs w:val="20"/>
        </w:rPr>
        <w:t>vasopressor</w:t>
      </w:r>
      <w:proofErr w:type="spellEnd"/>
      <w:r w:rsidRPr="008D4853">
        <w:rPr>
          <w:rFonts w:ascii="Arial" w:hAnsi="Arial" w:cs="Arial"/>
          <w:sz w:val="20"/>
          <w:szCs w:val="20"/>
        </w:rPr>
        <w:t xml:space="preserve"> com Noradrenalina (dose máxima 0,5 </w:t>
      </w:r>
      <w:proofErr w:type="spellStart"/>
      <w:r w:rsidRPr="008D4853">
        <w:rPr>
          <w:rFonts w:ascii="Arial" w:hAnsi="Arial" w:cs="Arial"/>
          <w:sz w:val="20"/>
          <w:szCs w:val="20"/>
        </w:rPr>
        <w:t>mcg</w:t>
      </w:r>
      <w:proofErr w:type="spellEnd"/>
      <w:r w:rsidRPr="008D4853">
        <w:rPr>
          <w:rFonts w:ascii="Arial" w:hAnsi="Arial" w:cs="Arial"/>
          <w:sz w:val="20"/>
          <w:szCs w:val="20"/>
        </w:rPr>
        <w:t xml:space="preserve">/kg/min). No final da cirurgia, pela manutenção da disfunção de órgão com necessidade de aminas, foi transferida para a unidade de cuidados intensivos, onde manteve reposição </w:t>
      </w:r>
      <w:proofErr w:type="spellStart"/>
      <w:r w:rsidRPr="008D4853">
        <w:rPr>
          <w:rFonts w:ascii="Arial" w:hAnsi="Arial" w:cs="Arial"/>
          <w:sz w:val="20"/>
          <w:szCs w:val="20"/>
        </w:rPr>
        <w:t>volémica</w:t>
      </w:r>
      <w:proofErr w:type="spellEnd"/>
      <w:r w:rsidRPr="008D4853">
        <w:rPr>
          <w:rFonts w:ascii="Arial" w:hAnsi="Arial" w:cs="Arial"/>
          <w:sz w:val="20"/>
          <w:szCs w:val="20"/>
        </w:rPr>
        <w:t xml:space="preserve"> e antibiótica e efetuou desmame de suporte </w:t>
      </w:r>
      <w:proofErr w:type="spellStart"/>
      <w:r w:rsidRPr="008D4853">
        <w:rPr>
          <w:rFonts w:ascii="Arial" w:hAnsi="Arial" w:cs="Arial"/>
          <w:sz w:val="20"/>
          <w:szCs w:val="20"/>
        </w:rPr>
        <w:t>vasopressor</w:t>
      </w:r>
      <w:proofErr w:type="spellEnd"/>
      <w:r w:rsidRPr="008D4853">
        <w:rPr>
          <w:rFonts w:ascii="Arial" w:hAnsi="Arial" w:cs="Arial"/>
          <w:sz w:val="20"/>
          <w:szCs w:val="20"/>
        </w:rPr>
        <w:t xml:space="preserve"> nas primeiras 24 horas, mantendo-se sempre em ventilação espontânea. Apresentou evolução favorável, tendo alta para enfermaria ao fim de três dias.</w:t>
      </w:r>
    </w:p>
    <w:p w14:paraId="47E3C499" w14:textId="77777777" w:rsidR="00ED5DDA" w:rsidRPr="008D4853" w:rsidRDefault="00ED5DDA" w:rsidP="00ED5DDA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D4853">
        <w:rPr>
          <w:rStyle w:val="Forte"/>
          <w:rFonts w:ascii="Arial" w:hAnsi="Arial" w:cs="Arial"/>
          <w:sz w:val="20"/>
          <w:szCs w:val="20"/>
        </w:rPr>
        <w:t>Discussão</w:t>
      </w:r>
    </w:p>
    <w:p w14:paraId="07FA05C4" w14:textId="77777777" w:rsidR="00ED5DDA" w:rsidRPr="008D4853" w:rsidRDefault="00ED5DDA" w:rsidP="00ED5DDA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D4853">
        <w:rPr>
          <w:rFonts w:ascii="Arial" w:hAnsi="Arial" w:cs="Arial"/>
          <w:sz w:val="20"/>
          <w:szCs w:val="20"/>
        </w:rPr>
        <w:t xml:space="preserve">         O bloqueio da </w:t>
      </w:r>
      <w:proofErr w:type="spellStart"/>
      <w:r w:rsidRPr="008D4853">
        <w:rPr>
          <w:rFonts w:ascii="Arial" w:hAnsi="Arial" w:cs="Arial"/>
          <w:sz w:val="20"/>
          <w:szCs w:val="20"/>
        </w:rPr>
        <w:t>fascia</w:t>
      </w:r>
      <w:proofErr w:type="spellEnd"/>
      <w:r w:rsidRPr="008D4853">
        <w:rPr>
          <w:rFonts w:ascii="Arial" w:hAnsi="Arial" w:cs="Arial"/>
          <w:sz w:val="20"/>
          <w:szCs w:val="20"/>
        </w:rPr>
        <w:t xml:space="preserve"> ilíaca </w:t>
      </w:r>
      <w:proofErr w:type="spellStart"/>
      <w:r w:rsidRPr="008D4853">
        <w:rPr>
          <w:rFonts w:ascii="Arial" w:hAnsi="Arial" w:cs="Arial"/>
          <w:sz w:val="20"/>
          <w:szCs w:val="20"/>
        </w:rPr>
        <w:t>suprainguinal</w:t>
      </w:r>
      <w:proofErr w:type="spellEnd"/>
      <w:r w:rsidRPr="008D4853">
        <w:rPr>
          <w:rFonts w:ascii="Arial" w:hAnsi="Arial" w:cs="Arial"/>
          <w:sz w:val="20"/>
          <w:szCs w:val="20"/>
        </w:rPr>
        <w:t xml:space="preserve"> consiste na injeção de anestésico local abaixo da </w:t>
      </w:r>
      <w:proofErr w:type="spellStart"/>
      <w:r w:rsidRPr="008D4853">
        <w:rPr>
          <w:rFonts w:ascii="Arial" w:hAnsi="Arial" w:cs="Arial"/>
          <w:sz w:val="20"/>
          <w:szCs w:val="20"/>
        </w:rPr>
        <w:t>fascia</w:t>
      </w:r>
      <w:proofErr w:type="spellEnd"/>
      <w:r w:rsidRPr="008D4853">
        <w:rPr>
          <w:rFonts w:ascii="Arial" w:hAnsi="Arial" w:cs="Arial"/>
          <w:sz w:val="20"/>
          <w:szCs w:val="20"/>
        </w:rPr>
        <w:t xml:space="preserve"> ilíaca, com o objetivo de bloquear simultaneamente os nervos femoral, obturador e cutâneo lateral de coxa. Assim, através do bloqueio destas estruturas do plexo lombar, pode ser utilizado com segurança como principal técnica anestésica em cirurgias que envolvam dermátomos correspondentes a esta inervação, desde que seja aplicado um volume relativamente grande (20-40 ml) de anestésico local, visto que é um bloqueio dependente de volume.</w:t>
      </w:r>
    </w:p>
    <w:p w14:paraId="1DBBDE10" w14:textId="77777777" w:rsidR="00ED5DDA" w:rsidRPr="008D4853" w:rsidRDefault="00ED5DDA" w:rsidP="00ED5DDA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D4853">
        <w:rPr>
          <w:rFonts w:ascii="Arial" w:hAnsi="Arial" w:cs="Arial"/>
          <w:sz w:val="20"/>
          <w:szCs w:val="20"/>
        </w:rPr>
        <w:t xml:space="preserve">           Desta forma, esta técnica regional pode ser uma opção anestésica segura e eficaz na cirurgia de amputação </w:t>
      </w:r>
      <w:proofErr w:type="spellStart"/>
      <w:r w:rsidRPr="008D4853">
        <w:rPr>
          <w:rFonts w:ascii="Arial" w:hAnsi="Arial" w:cs="Arial"/>
          <w:sz w:val="20"/>
          <w:szCs w:val="20"/>
        </w:rPr>
        <w:t>transfemoral</w:t>
      </w:r>
      <w:proofErr w:type="spellEnd"/>
      <w:r w:rsidRPr="008D4853">
        <w:rPr>
          <w:rFonts w:ascii="Arial" w:hAnsi="Arial" w:cs="Arial"/>
          <w:sz w:val="20"/>
          <w:szCs w:val="20"/>
        </w:rPr>
        <w:t xml:space="preserve">, quando complementada com uma estratégia de </w:t>
      </w:r>
      <w:proofErr w:type="spellStart"/>
      <w:r w:rsidRPr="008D4853">
        <w:rPr>
          <w:rFonts w:ascii="Arial" w:hAnsi="Arial" w:cs="Arial"/>
          <w:sz w:val="20"/>
          <w:szCs w:val="20"/>
        </w:rPr>
        <w:t>sedoanalgesia</w:t>
      </w:r>
      <w:proofErr w:type="spellEnd"/>
      <w:r w:rsidRPr="008D4853">
        <w:rPr>
          <w:rFonts w:ascii="Arial" w:hAnsi="Arial" w:cs="Arial"/>
          <w:sz w:val="20"/>
          <w:szCs w:val="20"/>
        </w:rPr>
        <w:t>, atendendo ao facto de os dermátomos implicados na inervação da coxa não serem completamente cobertos por este bloqueio. Apresenta benefícios sobretudo no caso de doentes frágeis, evitando os riscos associados a anestesia geral ou abordagem do neuro-eixo. Adicionalmente, possui como vantagens o facto de não exigir posicionamento do doente, ser um bloqueio relativamente superficial e apresentar baixa probabilidade de lesão nervosa ou vascular.</w:t>
      </w:r>
    </w:p>
    <w:p w14:paraId="4B42C595" w14:textId="77777777" w:rsidR="00ED5DDA" w:rsidRPr="008D4853" w:rsidRDefault="00ED5DDA" w:rsidP="00ED5DDA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D4853">
        <w:rPr>
          <w:rStyle w:val="Forte"/>
          <w:rFonts w:ascii="Arial" w:hAnsi="Arial" w:cs="Arial"/>
          <w:sz w:val="20"/>
          <w:szCs w:val="20"/>
        </w:rPr>
        <w:t>Referências</w:t>
      </w:r>
    </w:p>
    <w:p w14:paraId="5BA2C0B1" w14:textId="77777777" w:rsidR="00ED5DDA" w:rsidRPr="008D4853" w:rsidRDefault="00ED5DDA" w:rsidP="00ED5DDA">
      <w:pPr>
        <w:numPr>
          <w:ilvl w:val="0"/>
          <w:numId w:val="8"/>
        </w:numPr>
        <w:rPr>
          <w:rFonts w:ascii="Arial" w:eastAsia="Times New Roman" w:hAnsi="Arial" w:cs="Arial"/>
          <w:sz w:val="20"/>
          <w:szCs w:val="20"/>
        </w:rPr>
      </w:pPr>
      <w:proofErr w:type="spellStart"/>
      <w:r w:rsidRPr="008D4853">
        <w:rPr>
          <w:rStyle w:val="nfase"/>
          <w:rFonts w:ascii="Arial" w:eastAsia="Times New Roman" w:hAnsi="Arial" w:cs="Arial"/>
          <w:color w:val="000000"/>
          <w:sz w:val="20"/>
          <w:szCs w:val="20"/>
        </w:rPr>
        <w:t>Anaesthesia</w:t>
      </w:r>
      <w:proofErr w:type="spellEnd"/>
      <w:r w:rsidRPr="008D4853">
        <w:rPr>
          <w:rFonts w:ascii="Arial" w:eastAsia="Times New Roman" w:hAnsi="Arial" w:cs="Arial"/>
          <w:color w:val="000000"/>
          <w:sz w:val="20"/>
          <w:szCs w:val="20"/>
        </w:rPr>
        <w:t>. 2011; 66: 300-305</w:t>
      </w:r>
    </w:p>
    <w:p w14:paraId="0DC71ECB" w14:textId="77777777" w:rsidR="00ED5DDA" w:rsidRPr="008D4853" w:rsidRDefault="00ED5DDA" w:rsidP="00ED5DDA">
      <w:pPr>
        <w:numPr>
          <w:ilvl w:val="0"/>
          <w:numId w:val="8"/>
        </w:numPr>
        <w:rPr>
          <w:rFonts w:ascii="Arial" w:eastAsia="Times New Roman" w:hAnsi="Arial" w:cs="Arial"/>
          <w:sz w:val="20"/>
          <w:szCs w:val="20"/>
        </w:rPr>
      </w:pPr>
      <w:r w:rsidRPr="008D4853">
        <w:rPr>
          <w:rStyle w:val="nfase"/>
          <w:rFonts w:ascii="Arial" w:eastAsia="Times New Roman" w:hAnsi="Arial" w:cs="Arial"/>
          <w:color w:val="000000"/>
          <w:sz w:val="20"/>
          <w:szCs w:val="20"/>
        </w:rPr>
        <w:t xml:space="preserve">BJA </w:t>
      </w:r>
      <w:proofErr w:type="spellStart"/>
      <w:r w:rsidRPr="008D4853">
        <w:rPr>
          <w:rStyle w:val="nfase"/>
          <w:rFonts w:ascii="Arial" w:eastAsia="Times New Roman" w:hAnsi="Arial" w:cs="Arial"/>
          <w:color w:val="000000"/>
          <w:sz w:val="20"/>
          <w:szCs w:val="20"/>
        </w:rPr>
        <w:t>Education</w:t>
      </w:r>
      <w:proofErr w:type="spellEnd"/>
      <w:r w:rsidRPr="008D4853">
        <w:rPr>
          <w:rFonts w:ascii="Arial" w:eastAsia="Times New Roman" w:hAnsi="Arial" w:cs="Arial"/>
          <w:color w:val="000000"/>
          <w:sz w:val="20"/>
          <w:szCs w:val="20"/>
        </w:rPr>
        <w:t>. 2019; 19(6): 191-197</w:t>
      </w:r>
    </w:p>
    <w:p w14:paraId="2AF51914" w14:textId="77777777" w:rsidR="00ED5DDA" w:rsidRPr="001A343E" w:rsidRDefault="00ED5DDA" w:rsidP="00ED5DDA">
      <w:pPr>
        <w:numPr>
          <w:ilvl w:val="0"/>
          <w:numId w:val="8"/>
        </w:numPr>
        <w:rPr>
          <w:rFonts w:ascii="Arial" w:eastAsia="Times New Roman" w:hAnsi="Arial" w:cs="Arial"/>
          <w:sz w:val="20"/>
          <w:szCs w:val="20"/>
          <w:lang w:val="en-US"/>
        </w:rPr>
      </w:pPr>
      <w:r w:rsidRPr="001A343E">
        <w:rPr>
          <w:rStyle w:val="nfase"/>
          <w:rFonts w:ascii="Arial" w:eastAsia="Times New Roman" w:hAnsi="Arial" w:cs="Arial"/>
          <w:color w:val="000000"/>
          <w:sz w:val="20"/>
          <w:szCs w:val="20"/>
          <w:lang w:val="en-US"/>
        </w:rPr>
        <w:t xml:space="preserve">Reg </w:t>
      </w:r>
      <w:proofErr w:type="spellStart"/>
      <w:r w:rsidRPr="001A343E">
        <w:rPr>
          <w:rStyle w:val="nfase"/>
          <w:rFonts w:ascii="Arial" w:eastAsia="Times New Roman" w:hAnsi="Arial" w:cs="Arial"/>
          <w:color w:val="000000"/>
          <w:sz w:val="20"/>
          <w:szCs w:val="20"/>
          <w:lang w:val="en-US"/>
        </w:rPr>
        <w:t>Anesth</w:t>
      </w:r>
      <w:proofErr w:type="spellEnd"/>
      <w:r w:rsidRPr="001A343E">
        <w:rPr>
          <w:rStyle w:val="nfase"/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Pain Med</w:t>
      </w:r>
      <w:r w:rsidRPr="001A343E">
        <w:rPr>
          <w:rFonts w:ascii="Arial" w:eastAsia="Times New Roman" w:hAnsi="Arial" w:cs="Arial"/>
          <w:color w:val="000000"/>
          <w:sz w:val="20"/>
          <w:szCs w:val="20"/>
          <w:lang w:val="en-US"/>
        </w:rPr>
        <w:t>. 2022; 47(Suppl 1): A1–A315</w:t>
      </w:r>
    </w:p>
    <w:p w14:paraId="17CFEB1C" w14:textId="77777777" w:rsidR="00ED5DDA" w:rsidRPr="008D4853" w:rsidRDefault="00ED5DDA" w:rsidP="00ED5DDA">
      <w:pPr>
        <w:rPr>
          <w:rFonts w:ascii="Arial" w:eastAsia="Times New Roman" w:hAnsi="Arial" w:cs="Arial"/>
          <w:sz w:val="20"/>
          <w:szCs w:val="20"/>
        </w:rPr>
      </w:pPr>
      <w:r w:rsidRPr="001A343E">
        <w:rPr>
          <w:rFonts w:ascii="Arial" w:eastAsia="Times New Roman" w:hAnsi="Arial" w:cs="Arial"/>
          <w:sz w:val="20"/>
          <w:szCs w:val="20"/>
          <w:lang w:val="en-US"/>
        </w:rPr>
        <w:lastRenderedPageBreak/>
        <w:br/>
      </w:r>
      <w:r w:rsidRPr="001A343E">
        <w:rPr>
          <w:rFonts w:ascii="Arial" w:eastAsia="Times New Roman" w:hAnsi="Arial" w:cs="Arial"/>
          <w:sz w:val="20"/>
          <w:szCs w:val="20"/>
          <w:lang w:val="en-US"/>
        </w:rPr>
        <w:br/>
      </w:r>
      <w:r w:rsidRPr="008D4853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D04E371" wp14:editId="3F967204">
            <wp:extent cx="3589020" cy="4785360"/>
            <wp:effectExtent l="0" t="0" r="0" b="0"/>
            <wp:docPr id="25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020" cy="478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7E3CEF" w14:textId="3295A356" w:rsidR="00FC35B8" w:rsidRPr="004277A8" w:rsidRDefault="00FC35B8" w:rsidP="00ED5DDA">
      <w:pPr>
        <w:pStyle w:val="NormalWeb"/>
        <w:spacing w:before="0" w:beforeAutospacing="0" w:after="0" w:afterAutospacing="0"/>
      </w:pPr>
    </w:p>
    <w:sectPr w:rsidR="00FC35B8" w:rsidRPr="004277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26A36"/>
    <w:multiLevelType w:val="multilevel"/>
    <w:tmpl w:val="DD800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101385"/>
    <w:multiLevelType w:val="multilevel"/>
    <w:tmpl w:val="3424D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4F59B7"/>
    <w:multiLevelType w:val="multilevel"/>
    <w:tmpl w:val="03203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663A95"/>
    <w:multiLevelType w:val="multilevel"/>
    <w:tmpl w:val="43C07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2E7620"/>
    <w:multiLevelType w:val="multilevel"/>
    <w:tmpl w:val="1688B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1504FE3"/>
    <w:multiLevelType w:val="multilevel"/>
    <w:tmpl w:val="F01E2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906F63"/>
    <w:multiLevelType w:val="multilevel"/>
    <w:tmpl w:val="12629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7444BA4"/>
    <w:multiLevelType w:val="multilevel"/>
    <w:tmpl w:val="3DB22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48669306">
    <w:abstractNumId w:val="0"/>
  </w:num>
  <w:num w:numId="2" w16cid:durableId="770324313">
    <w:abstractNumId w:val="1"/>
  </w:num>
  <w:num w:numId="3" w16cid:durableId="1787381973">
    <w:abstractNumId w:val="7"/>
  </w:num>
  <w:num w:numId="4" w16cid:durableId="1140810425">
    <w:abstractNumId w:val="5"/>
  </w:num>
  <w:num w:numId="5" w16cid:durableId="1180126137">
    <w:abstractNumId w:val="3"/>
  </w:num>
  <w:num w:numId="6" w16cid:durableId="2018262344">
    <w:abstractNumId w:val="2"/>
  </w:num>
  <w:num w:numId="7" w16cid:durableId="662007213">
    <w:abstractNumId w:val="4"/>
  </w:num>
  <w:num w:numId="8" w16cid:durableId="175597835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711"/>
    <w:rsid w:val="000D1133"/>
    <w:rsid w:val="001B6790"/>
    <w:rsid w:val="001C61FC"/>
    <w:rsid w:val="002938F9"/>
    <w:rsid w:val="00416AB4"/>
    <w:rsid w:val="004277A8"/>
    <w:rsid w:val="0051787D"/>
    <w:rsid w:val="00630D4C"/>
    <w:rsid w:val="00670F9D"/>
    <w:rsid w:val="00674711"/>
    <w:rsid w:val="006C4C08"/>
    <w:rsid w:val="007D47C6"/>
    <w:rsid w:val="008008E2"/>
    <w:rsid w:val="00801562"/>
    <w:rsid w:val="00857D77"/>
    <w:rsid w:val="00B82B6F"/>
    <w:rsid w:val="00B84238"/>
    <w:rsid w:val="00B90F58"/>
    <w:rsid w:val="00BB1DFA"/>
    <w:rsid w:val="00C21AAC"/>
    <w:rsid w:val="00C9498A"/>
    <w:rsid w:val="00CA291A"/>
    <w:rsid w:val="00CA641B"/>
    <w:rsid w:val="00DC169D"/>
    <w:rsid w:val="00DC6FAA"/>
    <w:rsid w:val="00E12DEE"/>
    <w:rsid w:val="00E95347"/>
    <w:rsid w:val="00EB4799"/>
    <w:rsid w:val="00EC1DCB"/>
    <w:rsid w:val="00ED0C35"/>
    <w:rsid w:val="00ED5DDA"/>
    <w:rsid w:val="00FC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7DAB8"/>
  <w15:chartTrackingRefBased/>
  <w15:docId w15:val="{76A79111-DD88-4EC4-9429-17E65B513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4711"/>
    <w:pPr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pt-PT"/>
      <w14:ligatures w14:val="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74711"/>
    <w:pPr>
      <w:spacing w:before="100" w:beforeAutospacing="1" w:after="100" w:afterAutospacing="1"/>
    </w:pPr>
  </w:style>
  <w:style w:type="character" w:styleId="Forte">
    <w:name w:val="Strong"/>
    <w:basedOn w:val="Tipodeletrapredefinidodopargrafo"/>
    <w:uiPriority w:val="22"/>
    <w:qFormat/>
    <w:rsid w:val="00674711"/>
    <w:rPr>
      <w:b/>
      <w:bCs/>
    </w:rPr>
  </w:style>
  <w:style w:type="character" w:styleId="nfase">
    <w:name w:val="Emphasis"/>
    <w:basedOn w:val="Tipodeletrapredefinidodopargrafo"/>
    <w:uiPriority w:val="20"/>
    <w:qFormat/>
    <w:rsid w:val="00674711"/>
    <w:rPr>
      <w:i/>
      <w:iCs/>
    </w:rPr>
  </w:style>
  <w:style w:type="character" w:styleId="Hiperligao">
    <w:name w:val="Hyperlink"/>
    <w:basedOn w:val="Tipodeletrapredefinidodopargrafo"/>
    <w:uiPriority w:val="99"/>
    <w:semiHidden/>
    <w:unhideWhenUsed/>
    <w:rsid w:val="00C21AAC"/>
    <w:rPr>
      <w:color w:val="0000FF"/>
      <w:u w:val="single"/>
    </w:rPr>
  </w:style>
  <w:style w:type="paragraph" w:customStyle="1" w:styleId="msonormal0">
    <w:name w:val="msonormal"/>
    <w:basedOn w:val="Normal"/>
    <w:rsid w:val="00ED5DD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6749F-1EAE-4BAB-A7C1-782B1699A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3194</Characters>
  <Application>Microsoft Office Word</Application>
  <DocSecurity>0</DocSecurity>
  <Lines>26</Lines>
  <Paragraphs>7</Paragraphs>
  <ScaleCrop>false</ScaleCrop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Ferreira</dc:creator>
  <cp:keywords/>
  <dc:description/>
  <cp:lastModifiedBy>Raquel Ferreira</cp:lastModifiedBy>
  <cp:revision>2</cp:revision>
  <dcterms:created xsi:type="dcterms:W3CDTF">2023-03-15T15:08:00Z</dcterms:created>
  <dcterms:modified xsi:type="dcterms:W3CDTF">2023-03-15T15:08:00Z</dcterms:modified>
</cp:coreProperties>
</file>