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33208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21   TÉCNICAS DE INTERVENÇÃO EM DOR NA NEVRALGIA PÓS-HERPÉTICA – A PROPÓSITO DE UM CASO CLÍNICO</w:t>
      </w:r>
    </w:p>
    <w:p w14:paraId="68E33C83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João </w:t>
      </w:r>
      <w:proofErr w:type="spellStart"/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Galacho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Mariano Veiga(1); Mónica Ferreira(1); Germano Cardoso(1); Armando Barbosa(1)</w:t>
      </w:r>
    </w:p>
    <w:p w14:paraId="70956519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Paincare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– Clínica de Tratamentos de Dor </w:t>
      </w:r>
    </w:p>
    <w:p w14:paraId="2E54656C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76C3A517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Introdução</w:t>
      </w:r>
      <w:r w:rsidRPr="008D4853">
        <w:rPr>
          <w:rFonts w:ascii="Arial" w:hAnsi="Arial" w:cs="Arial"/>
          <w:sz w:val="20"/>
          <w:szCs w:val="20"/>
        </w:rPr>
        <w:br/>
        <w:t xml:space="preserve">A infeção por herpes </w:t>
      </w:r>
      <w:proofErr w:type="spellStart"/>
      <w:r w:rsidRPr="008D4853">
        <w:rPr>
          <w:rFonts w:ascii="Arial" w:hAnsi="Arial" w:cs="Arial"/>
          <w:sz w:val="20"/>
          <w:szCs w:val="20"/>
        </w:rPr>
        <w:t>zoster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ocorre predominantemente em adultos e idosos. O curso natural da doença é geralmente favorável e os sintomas resolvem espontaneamente no espaço de semanas.</w:t>
      </w:r>
      <w:r w:rsidRPr="008D4853">
        <w:rPr>
          <w:rFonts w:ascii="Arial" w:hAnsi="Arial" w:cs="Arial"/>
          <w:sz w:val="20"/>
          <w:szCs w:val="20"/>
        </w:rPr>
        <w:br/>
        <w:t xml:space="preserve">A nevralgia pós-herpética (NPH) define-se como dor persistente por um ou mais meses após o desenvolvimento das vesículas associadas à infeção por herpes </w:t>
      </w:r>
      <w:proofErr w:type="spellStart"/>
      <w:r w:rsidRPr="008D4853">
        <w:rPr>
          <w:rFonts w:ascii="Arial" w:hAnsi="Arial" w:cs="Arial"/>
          <w:sz w:val="20"/>
          <w:szCs w:val="20"/>
        </w:rPr>
        <w:t>zoster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  <w:r w:rsidRPr="008D4853">
        <w:rPr>
          <w:rFonts w:ascii="Arial" w:hAnsi="Arial" w:cs="Arial"/>
          <w:sz w:val="20"/>
          <w:szCs w:val="20"/>
        </w:rPr>
        <w:br/>
        <w:t>Os objetivos do tratamento da infeção são: 1) redução da intensidade e duração da dor; 2) promoção da recuperação da pele e prevenção de infeção secundária; 3) redução ou prevenção da incidência de NPH. A evidência tem demonstrado que o tratamento precoce da infeção e da dor reduz o risco de NPH.1,2</w:t>
      </w:r>
      <w:r w:rsidRPr="008D4853">
        <w:rPr>
          <w:rFonts w:ascii="Arial" w:hAnsi="Arial" w:cs="Arial"/>
          <w:sz w:val="20"/>
          <w:szCs w:val="20"/>
        </w:rPr>
        <w:br/>
        <w:t>Apesar de a dor intensa persistente afetar uma pequena percentagem dos doentes afetados, esta está a associada a um grande prejuízo da qualidade de vida e a uma grande limitação da mobilidade.1</w:t>
      </w:r>
      <w:r w:rsidRPr="008D4853">
        <w:rPr>
          <w:rFonts w:ascii="Arial" w:hAnsi="Arial" w:cs="Arial"/>
          <w:sz w:val="20"/>
          <w:szCs w:val="20"/>
        </w:rPr>
        <w:br/>
        <w:t xml:space="preserve">A terapêutica analgésica farmacológica de primeira linha inclui fármacos </w:t>
      </w:r>
      <w:proofErr w:type="spellStart"/>
      <w:r w:rsidRPr="008D4853">
        <w:rPr>
          <w:rFonts w:ascii="Arial" w:hAnsi="Arial" w:cs="Arial"/>
          <w:sz w:val="20"/>
          <w:szCs w:val="20"/>
        </w:rPr>
        <w:t>antiepilépticos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nomeadamente </w:t>
      </w:r>
      <w:proofErr w:type="spellStart"/>
      <w:r w:rsidRPr="008D4853">
        <w:rPr>
          <w:rFonts w:ascii="Arial" w:hAnsi="Arial" w:cs="Arial"/>
          <w:sz w:val="20"/>
          <w:szCs w:val="20"/>
        </w:rPr>
        <w:t>gabapentinóides</w:t>
      </w:r>
      <w:proofErr w:type="spellEnd"/>
      <w:r w:rsidRPr="008D4853">
        <w:rPr>
          <w:rFonts w:ascii="Arial" w:hAnsi="Arial" w:cs="Arial"/>
          <w:sz w:val="20"/>
          <w:szCs w:val="20"/>
        </w:rPr>
        <w:t>, e antidepressivos tricíclicos.2,3</w:t>
      </w:r>
      <w:r w:rsidRPr="008D4853">
        <w:rPr>
          <w:rFonts w:ascii="Arial" w:hAnsi="Arial" w:cs="Arial"/>
          <w:sz w:val="20"/>
          <w:szCs w:val="20"/>
        </w:rPr>
        <w:br/>
        <w:t xml:space="preserve">As técnicas minimamente invasivas de tratamento da dor, como os bloqueios epidurais com </w:t>
      </w:r>
      <w:proofErr w:type="spellStart"/>
      <w:r w:rsidRPr="008D4853">
        <w:rPr>
          <w:rFonts w:ascii="Arial" w:hAnsi="Arial" w:cs="Arial"/>
          <w:sz w:val="20"/>
          <w:szCs w:val="20"/>
        </w:rPr>
        <w:t>corticóide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anestésico local, são eficazes no tratamento da dor aguda, mas são de eficácia limitada na prevenção da NPH.3</w:t>
      </w:r>
    </w:p>
    <w:p w14:paraId="4AA160C9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br/>
        <w:t>Caso Clínico</w:t>
      </w:r>
      <w:r w:rsidRPr="008D4853">
        <w:rPr>
          <w:rFonts w:ascii="Arial" w:hAnsi="Arial" w:cs="Arial"/>
          <w:sz w:val="20"/>
          <w:szCs w:val="20"/>
        </w:rPr>
        <w:br/>
        <w:t xml:space="preserve">Descrevemos o caso de uma mulher com história de infeção a herpes </w:t>
      </w:r>
      <w:proofErr w:type="spellStart"/>
      <w:r w:rsidRPr="008D4853">
        <w:rPr>
          <w:rFonts w:ascii="Arial" w:hAnsi="Arial" w:cs="Arial"/>
          <w:sz w:val="20"/>
          <w:szCs w:val="20"/>
        </w:rPr>
        <w:t>zoster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em 2011, com persistência das queixas álgicas desde então compatíveis com NPH.</w:t>
      </w:r>
      <w:r w:rsidRPr="008D4853">
        <w:rPr>
          <w:rFonts w:ascii="Arial" w:hAnsi="Arial" w:cs="Arial"/>
          <w:sz w:val="20"/>
          <w:szCs w:val="20"/>
        </w:rPr>
        <w:br/>
        <w:t xml:space="preserve">Estava medicada desde há 10 anos com </w:t>
      </w:r>
      <w:proofErr w:type="spellStart"/>
      <w:r w:rsidRPr="008D4853">
        <w:rPr>
          <w:rFonts w:ascii="Arial" w:hAnsi="Arial" w:cs="Arial"/>
          <w:sz w:val="20"/>
          <w:szCs w:val="20"/>
        </w:rPr>
        <w:t>gabapentina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900mg/dia, buprenorfina 35mcg/h </w:t>
      </w:r>
      <w:proofErr w:type="spellStart"/>
      <w:r w:rsidRPr="008D4853">
        <w:rPr>
          <w:rFonts w:ascii="Arial" w:hAnsi="Arial" w:cs="Arial"/>
          <w:sz w:val="20"/>
          <w:szCs w:val="20"/>
        </w:rPr>
        <w:t>transdérmica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D4853">
        <w:rPr>
          <w:rFonts w:ascii="Arial" w:hAnsi="Arial" w:cs="Arial"/>
          <w:sz w:val="20"/>
          <w:szCs w:val="20"/>
        </w:rPr>
        <w:t>oxicodona-naloxona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lidocaína a 5% em </w:t>
      </w:r>
      <w:proofErr w:type="spellStart"/>
      <w:r w:rsidRPr="008D4853">
        <w:rPr>
          <w:rFonts w:ascii="Arial" w:hAnsi="Arial" w:cs="Arial"/>
          <w:sz w:val="20"/>
          <w:szCs w:val="20"/>
        </w:rPr>
        <w:t>patch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  <w:r w:rsidRPr="008D4853">
        <w:rPr>
          <w:rFonts w:ascii="Arial" w:hAnsi="Arial" w:cs="Arial"/>
          <w:sz w:val="20"/>
          <w:szCs w:val="20"/>
        </w:rPr>
        <w:br/>
        <w:t xml:space="preserve">À nossa avaliação, a dor apresentava características neuropáticas (DN4 &gt; 4) e </w:t>
      </w:r>
      <w:proofErr w:type="spellStart"/>
      <w:r w:rsidRPr="008D4853">
        <w:rPr>
          <w:rFonts w:ascii="Arial" w:hAnsi="Arial" w:cs="Arial"/>
          <w:sz w:val="20"/>
          <w:szCs w:val="20"/>
        </w:rPr>
        <w:t>alodinia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franca, com intolerância ao toque, nomeadamente do vestuário. O mapeamento da região de </w:t>
      </w:r>
      <w:proofErr w:type="spellStart"/>
      <w:r w:rsidRPr="008D4853">
        <w:rPr>
          <w:rFonts w:ascii="Arial" w:hAnsi="Arial" w:cs="Arial"/>
          <w:sz w:val="20"/>
          <w:szCs w:val="20"/>
        </w:rPr>
        <w:t>alodinia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permitiu-nos inferir que </w:t>
      </w:r>
      <w:proofErr w:type="gramStart"/>
      <w:r w:rsidRPr="008D4853">
        <w:rPr>
          <w:rFonts w:ascii="Arial" w:hAnsi="Arial" w:cs="Arial"/>
          <w:sz w:val="20"/>
          <w:szCs w:val="20"/>
        </w:rPr>
        <w:t>o dermátomos afetados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correspondiam a T8, T9 e T10, à direita.</w:t>
      </w:r>
      <w:r w:rsidRPr="008D4853">
        <w:rPr>
          <w:rFonts w:ascii="Arial" w:hAnsi="Arial" w:cs="Arial"/>
          <w:sz w:val="20"/>
          <w:szCs w:val="20"/>
        </w:rPr>
        <w:br/>
        <w:t xml:space="preserve">A doente recorreu à nossa instituição por falência da terapêutica farmacológica, com implicação franca na sua qualidade de vida. Foram realizados bloqueios epidurais </w:t>
      </w:r>
      <w:proofErr w:type="spellStart"/>
      <w:r w:rsidRPr="008D4853">
        <w:rPr>
          <w:rFonts w:ascii="Arial" w:hAnsi="Arial" w:cs="Arial"/>
          <w:sz w:val="20"/>
          <w:szCs w:val="20"/>
        </w:rPr>
        <w:t>transforaminais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radiofrequência pulsada dos gânglios da raiz dorsal de T8, T9 e T10 direitos sob apoio fluoroscópico e anestesia local. Foi confirmado o</w:t>
      </w:r>
      <w:r w:rsidRPr="008D4853">
        <w:rPr>
          <w:rFonts w:ascii="Arial" w:hAnsi="Arial" w:cs="Arial"/>
          <w:sz w:val="20"/>
          <w:szCs w:val="20"/>
        </w:rPr>
        <w:br/>
        <w:t xml:space="preserve">posicionamento das agulhas com injeção de contraste iodado e administrados 3ml de </w:t>
      </w:r>
      <w:proofErr w:type="spellStart"/>
      <w:r w:rsidRPr="008D4853">
        <w:rPr>
          <w:rFonts w:ascii="Arial" w:hAnsi="Arial" w:cs="Arial"/>
          <w:sz w:val="20"/>
          <w:szCs w:val="20"/>
        </w:rPr>
        <w:t>ropivacaína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0,15% e </w:t>
      </w:r>
      <w:proofErr w:type="spellStart"/>
      <w:r w:rsidRPr="008D4853">
        <w:rPr>
          <w:rFonts w:ascii="Arial" w:hAnsi="Arial" w:cs="Arial"/>
          <w:sz w:val="20"/>
          <w:szCs w:val="20"/>
        </w:rPr>
        <w:t>dexametasona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(2mg) por nível (figuras 1,2 e 3)</w:t>
      </w:r>
      <w:r w:rsidRPr="008D4853">
        <w:rPr>
          <w:rFonts w:ascii="Arial" w:hAnsi="Arial" w:cs="Arial"/>
          <w:sz w:val="20"/>
          <w:szCs w:val="20"/>
        </w:rPr>
        <w:br/>
        <w:t xml:space="preserve">O </w:t>
      </w:r>
      <w:proofErr w:type="spellStart"/>
      <w:r w:rsidRPr="008D4853">
        <w:rPr>
          <w:rFonts w:ascii="Arial" w:hAnsi="Arial" w:cs="Arial"/>
          <w:sz w:val="20"/>
          <w:szCs w:val="20"/>
        </w:rPr>
        <w:t>follow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up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 3 e a 6 meses mostrou ausência de dor, de </w:t>
      </w:r>
      <w:proofErr w:type="spellStart"/>
      <w:r w:rsidRPr="008D4853">
        <w:rPr>
          <w:rFonts w:ascii="Arial" w:hAnsi="Arial" w:cs="Arial"/>
          <w:sz w:val="20"/>
          <w:szCs w:val="20"/>
        </w:rPr>
        <w:t>alodinia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ou hiperestesia, sem necessidade de utilização de </w:t>
      </w:r>
      <w:proofErr w:type="spellStart"/>
      <w:r w:rsidRPr="008D4853">
        <w:rPr>
          <w:rFonts w:ascii="Arial" w:hAnsi="Arial" w:cs="Arial"/>
          <w:sz w:val="20"/>
          <w:szCs w:val="20"/>
        </w:rPr>
        <w:t>patch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lidocaína. A doente descrevia tolerância total ao toque do vestuário bem como uma melhoria significativa da sua qualidade de vida. A melhoria permitiu a titulação negativa da terapêutica farmacológica, nomeadamente suspensão dos </w:t>
      </w:r>
      <w:proofErr w:type="spellStart"/>
      <w:r w:rsidRPr="008D4853">
        <w:rPr>
          <w:rFonts w:ascii="Arial" w:hAnsi="Arial" w:cs="Arial"/>
          <w:sz w:val="20"/>
          <w:szCs w:val="20"/>
        </w:rPr>
        <w:t>opióides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2C0ADB8F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Discussão</w:t>
      </w:r>
      <w:r w:rsidRPr="008D4853">
        <w:rPr>
          <w:rFonts w:ascii="Arial" w:hAnsi="Arial" w:cs="Arial"/>
          <w:sz w:val="20"/>
          <w:szCs w:val="20"/>
        </w:rPr>
        <w:br/>
        <w:t xml:space="preserve">As técnicas de intervenção em dor são estratégias eficazes no tratamento da dor aguda associada à infeção a herpes </w:t>
      </w:r>
      <w:proofErr w:type="spellStart"/>
      <w:r w:rsidRPr="008D4853">
        <w:rPr>
          <w:rFonts w:ascii="Arial" w:hAnsi="Arial" w:cs="Arial"/>
          <w:sz w:val="20"/>
          <w:szCs w:val="20"/>
        </w:rPr>
        <w:t>zoster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no tratamento da NPH.</w:t>
      </w:r>
    </w:p>
    <w:p w14:paraId="3795BCF0" w14:textId="77777777" w:rsidR="00C9470A" w:rsidRPr="008D4853" w:rsidRDefault="00C9470A" w:rsidP="00C9470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Referências Bibliográficas</w:t>
      </w:r>
      <w:r w:rsidRPr="008D4853">
        <w:rPr>
          <w:rFonts w:ascii="Arial" w:hAnsi="Arial" w:cs="Arial"/>
          <w:sz w:val="20"/>
          <w:szCs w:val="20"/>
        </w:rPr>
        <w:br/>
        <w:t xml:space="preserve">1 - </w:t>
      </w:r>
      <w:proofErr w:type="spellStart"/>
      <w:r w:rsidRPr="008D4853">
        <w:rPr>
          <w:rFonts w:ascii="Arial" w:hAnsi="Arial" w:cs="Arial"/>
          <w:sz w:val="20"/>
          <w:szCs w:val="20"/>
        </w:rPr>
        <w:t>Fam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Pract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8D4853">
        <w:rPr>
          <w:rFonts w:ascii="Arial" w:hAnsi="Arial" w:cs="Arial"/>
          <w:sz w:val="20"/>
          <w:szCs w:val="20"/>
        </w:rPr>
        <w:t>2002;19:471</w:t>
      </w:r>
      <w:proofErr w:type="gramEnd"/>
      <w:r w:rsidRPr="008D4853">
        <w:rPr>
          <w:rFonts w:ascii="Arial" w:hAnsi="Arial" w:cs="Arial"/>
          <w:sz w:val="20"/>
          <w:szCs w:val="20"/>
        </w:rPr>
        <w:t>–475.</w:t>
      </w:r>
      <w:r w:rsidRPr="008D4853">
        <w:rPr>
          <w:rFonts w:ascii="Arial" w:hAnsi="Arial" w:cs="Arial"/>
          <w:sz w:val="20"/>
          <w:szCs w:val="20"/>
        </w:rPr>
        <w:br/>
        <w:t xml:space="preserve">2 - J </w:t>
      </w:r>
      <w:proofErr w:type="spellStart"/>
      <w:r w:rsidRPr="008D4853">
        <w:rPr>
          <w:rFonts w:ascii="Arial" w:hAnsi="Arial" w:cs="Arial"/>
          <w:sz w:val="20"/>
          <w:szCs w:val="20"/>
        </w:rPr>
        <w:t>Pain</w:t>
      </w:r>
      <w:proofErr w:type="spellEnd"/>
      <w:r w:rsidRPr="008D4853">
        <w:rPr>
          <w:rFonts w:ascii="Arial" w:hAnsi="Arial" w:cs="Arial"/>
          <w:sz w:val="20"/>
          <w:szCs w:val="20"/>
        </w:rPr>
        <w:t>. 2008;</w:t>
      </w:r>
      <w:proofErr w:type="gramStart"/>
      <w:r w:rsidRPr="008D4853">
        <w:rPr>
          <w:rFonts w:ascii="Arial" w:hAnsi="Arial" w:cs="Arial"/>
          <w:sz w:val="20"/>
          <w:szCs w:val="20"/>
        </w:rPr>
        <w:t>9:S</w:t>
      </w:r>
      <w:proofErr w:type="gramEnd"/>
      <w:r w:rsidRPr="008D4853">
        <w:rPr>
          <w:rFonts w:ascii="Arial" w:hAnsi="Arial" w:cs="Arial"/>
          <w:sz w:val="20"/>
          <w:szCs w:val="20"/>
        </w:rPr>
        <w:t>37–S44.</w:t>
      </w:r>
      <w:r w:rsidRPr="008D4853">
        <w:rPr>
          <w:rFonts w:ascii="Arial" w:hAnsi="Arial" w:cs="Arial"/>
          <w:sz w:val="20"/>
          <w:szCs w:val="20"/>
        </w:rPr>
        <w:br/>
        <w:t xml:space="preserve">3 - J </w:t>
      </w:r>
      <w:proofErr w:type="spellStart"/>
      <w:r w:rsidRPr="008D4853">
        <w:rPr>
          <w:rFonts w:ascii="Arial" w:hAnsi="Arial" w:cs="Arial"/>
          <w:sz w:val="20"/>
          <w:szCs w:val="20"/>
        </w:rPr>
        <w:t>Fam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Pract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8D4853">
        <w:rPr>
          <w:rFonts w:ascii="Arial" w:hAnsi="Arial" w:cs="Arial"/>
          <w:sz w:val="20"/>
          <w:szCs w:val="20"/>
        </w:rPr>
        <w:t>2000;49:255</w:t>
      </w:r>
      <w:proofErr w:type="gramEnd"/>
      <w:r w:rsidRPr="008D4853">
        <w:rPr>
          <w:rFonts w:ascii="Arial" w:hAnsi="Arial" w:cs="Arial"/>
          <w:sz w:val="20"/>
          <w:szCs w:val="20"/>
        </w:rPr>
        <w:t>–264.</w:t>
      </w:r>
    </w:p>
    <w:p w14:paraId="067E21AD" w14:textId="77777777" w:rsidR="00C9470A" w:rsidRPr="008D4853" w:rsidRDefault="00C9470A" w:rsidP="00C9470A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A8E2798" wp14:editId="0A91B150">
            <wp:extent cx="5707380" cy="6316980"/>
            <wp:effectExtent l="0" t="0" r="7620" b="762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24BFB4B" wp14:editId="07F42CB0">
            <wp:extent cx="5715000" cy="903732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D631782" wp14:editId="1D899937">
            <wp:extent cx="5707380" cy="8107680"/>
            <wp:effectExtent l="0" t="0" r="7620" b="762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810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0ACA5B72" w:rsidR="00FC35B8" w:rsidRPr="00E243FA" w:rsidRDefault="00FC35B8" w:rsidP="00C9470A">
      <w:pPr>
        <w:rPr>
          <w:lang w:val="en-US"/>
        </w:rPr>
      </w:pPr>
    </w:p>
    <w:sectPr w:rsidR="00FC35B8" w:rsidRPr="00E24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9"/>
  </w:num>
  <w:num w:numId="4" w16cid:durableId="1140810425">
    <w:abstractNumId w:val="7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6"/>
  </w:num>
  <w:num w:numId="8" w16cid:durableId="1755978351">
    <w:abstractNumId w:val="8"/>
  </w:num>
  <w:num w:numId="9" w16cid:durableId="431822853">
    <w:abstractNumId w:val="5"/>
  </w:num>
  <w:num w:numId="10" w16cid:durableId="48500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25892"/>
    <w:rsid w:val="0026086F"/>
    <w:rsid w:val="002938F9"/>
    <w:rsid w:val="002B76FE"/>
    <w:rsid w:val="00416AB4"/>
    <w:rsid w:val="004277A8"/>
    <w:rsid w:val="004723E7"/>
    <w:rsid w:val="0051787D"/>
    <w:rsid w:val="00533E41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2023-03-15T15:12:00Z</dcterms:created>
  <dcterms:modified xsi:type="dcterms:W3CDTF">2023-03-15T15:12:00Z</dcterms:modified>
</cp:coreProperties>
</file>