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3EF7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23   KETAMINA E LIDOCAÍNA INTRAVENOSA NO TRATAMENTO DA DOR CRÓNICA</w:t>
      </w:r>
    </w:p>
    <w:p w14:paraId="586653E9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Luís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Freixo(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Ana Cristina Cunha(1); Lídia Cunha(1)</w:t>
      </w:r>
    </w:p>
    <w:p w14:paraId="68ADF03D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Lisboa Ocidental </w:t>
      </w:r>
    </w:p>
    <w:p w14:paraId="73E64D8B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6539B139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Introdução</w:t>
      </w:r>
      <w:r w:rsidRPr="008D4853">
        <w:rPr>
          <w:rFonts w:ascii="Arial" w:hAnsi="Arial" w:cs="Arial"/>
          <w:sz w:val="20"/>
          <w:szCs w:val="20"/>
        </w:rPr>
        <w:t xml:space="preserve">: A dor crónica é uma das razões mais prevalentes pelas quais a sociedade procura os serviços de saúde. Atualmente, o equilíbrio entre o tratamento adequado da dor e a prevenção da dependência de </w:t>
      </w:r>
      <w:proofErr w:type="spellStart"/>
      <w:r w:rsidRPr="008D4853">
        <w:rPr>
          <w:rFonts w:ascii="Arial" w:hAnsi="Arial" w:cs="Arial"/>
          <w:sz w:val="20"/>
          <w:szCs w:val="20"/>
        </w:rPr>
        <w:t>opióides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é o principal desafio.</w:t>
      </w:r>
      <w:r w:rsidRPr="008D4853">
        <w:rPr>
          <w:rFonts w:ascii="Arial" w:hAnsi="Arial" w:cs="Arial"/>
          <w:sz w:val="20"/>
          <w:szCs w:val="20"/>
          <w:vertAlign w:val="superscript"/>
        </w:rPr>
        <w:t>[1]</w:t>
      </w:r>
      <w:r w:rsidRPr="008D4853">
        <w:rPr>
          <w:rFonts w:ascii="Arial" w:hAnsi="Arial" w:cs="Arial"/>
          <w:sz w:val="20"/>
          <w:szCs w:val="20"/>
        </w:rPr>
        <w:t xml:space="preserve"> Os analgésicos não </w:t>
      </w:r>
      <w:proofErr w:type="spellStart"/>
      <w:r w:rsidRPr="008D4853">
        <w:rPr>
          <w:rFonts w:ascii="Arial" w:hAnsi="Arial" w:cs="Arial"/>
          <w:sz w:val="20"/>
          <w:szCs w:val="20"/>
        </w:rPr>
        <w:t>opióides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ganham assim maior relevância, e nomeadamente a </w:t>
      </w:r>
      <w:proofErr w:type="spellStart"/>
      <w:r w:rsidRPr="008D4853">
        <w:rPr>
          <w:rFonts w:ascii="Arial" w:hAnsi="Arial" w:cs="Arial"/>
          <w:sz w:val="20"/>
          <w:szCs w:val="20"/>
        </w:rPr>
        <w:t>ketamina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lidocaína detêm vantagens significativas neste âmbito, existindo já alguns estudos em vários contextos clínicos, incluindo síndrome de dor regional complexa, fibromialgia, dor neuropática crónica, dor pós-toracotomia, dor oncológica e dor do membro fantasma.</w:t>
      </w:r>
      <w:r w:rsidRPr="008D4853">
        <w:rPr>
          <w:rFonts w:ascii="Arial" w:hAnsi="Arial" w:cs="Arial"/>
          <w:sz w:val="20"/>
          <w:szCs w:val="20"/>
          <w:vertAlign w:val="superscript"/>
        </w:rPr>
        <w:t>[2]</w:t>
      </w:r>
    </w:p>
    <w:p w14:paraId="7150CEEA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441EE6D6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Caso clínico</w:t>
      </w:r>
      <w:r w:rsidRPr="008D4853">
        <w:rPr>
          <w:rFonts w:ascii="Arial" w:hAnsi="Arial" w:cs="Arial"/>
          <w:sz w:val="20"/>
          <w:szCs w:val="20"/>
        </w:rPr>
        <w:t xml:space="preserve">: Temos 2 casos distintos seguidos em consulta de dor crónica, com queixas álgicas refratárias ao tratamento sob altas doses de analgésicos não </w:t>
      </w:r>
      <w:proofErr w:type="spellStart"/>
      <w:r w:rsidRPr="008D4853">
        <w:rPr>
          <w:rFonts w:ascii="Arial" w:hAnsi="Arial" w:cs="Arial"/>
          <w:sz w:val="20"/>
          <w:szCs w:val="20"/>
        </w:rPr>
        <w:t>opióides</w:t>
      </w:r>
      <w:proofErr w:type="spellEnd"/>
      <w:r w:rsidRPr="008D4853">
        <w:rPr>
          <w:rFonts w:ascii="Arial" w:hAnsi="Arial" w:cs="Arial"/>
          <w:sz w:val="20"/>
          <w:szCs w:val="20"/>
        </w:rPr>
        <w:t>, opioides e anticonvulsivantes.</w:t>
      </w:r>
    </w:p>
    <w:p w14:paraId="708A7515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No caso 1, doente do sexo masculino, 55 anos, com antecedentes </w:t>
      </w:r>
      <w:proofErr w:type="spellStart"/>
      <w:r w:rsidRPr="008D4853">
        <w:rPr>
          <w:rFonts w:ascii="Arial" w:hAnsi="Arial" w:cs="Arial"/>
          <w:sz w:val="20"/>
          <w:szCs w:val="20"/>
        </w:rPr>
        <w:t>medico-cirúrgicos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isquemia crónica dos membros inferiores, angioplastia e bypass </w:t>
      </w:r>
      <w:proofErr w:type="spellStart"/>
      <w:r w:rsidRPr="008D4853">
        <w:rPr>
          <w:rFonts w:ascii="Arial" w:hAnsi="Arial" w:cs="Arial"/>
          <w:sz w:val="20"/>
          <w:szCs w:val="20"/>
        </w:rPr>
        <w:t>femoro-popliteo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diagnosticado com síndrome da dor fantasma, secundária a amputação de coxa há 2 anos. Apresentava queixas de dor na escala numérica (EN) máxima de 8 e mínima de 6, e encontrava-se sob </w:t>
      </w:r>
      <w:proofErr w:type="spellStart"/>
      <w:r w:rsidRPr="008D4853">
        <w:rPr>
          <w:rFonts w:ascii="Arial" w:hAnsi="Arial" w:cs="Arial"/>
          <w:sz w:val="20"/>
          <w:szCs w:val="20"/>
        </w:rPr>
        <w:t>fentanilo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hAnsi="Arial" w:cs="Arial"/>
          <w:sz w:val="20"/>
          <w:szCs w:val="20"/>
        </w:rPr>
        <w:t>transdérmico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150 </w:t>
      </w:r>
      <w:proofErr w:type="spellStart"/>
      <w:r w:rsidRPr="008D4853">
        <w:rPr>
          <w:rFonts w:ascii="Arial" w:hAnsi="Arial" w:cs="Arial"/>
          <w:sz w:val="20"/>
          <w:szCs w:val="20"/>
        </w:rPr>
        <w:t>mcg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4853">
        <w:rPr>
          <w:rFonts w:ascii="Arial" w:hAnsi="Arial" w:cs="Arial"/>
          <w:sz w:val="20"/>
          <w:szCs w:val="20"/>
        </w:rPr>
        <w:t>metamizol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575 mg </w:t>
      </w:r>
      <w:proofErr w:type="spellStart"/>
      <w:r w:rsidRPr="008D4853">
        <w:rPr>
          <w:rFonts w:ascii="Arial" w:hAnsi="Arial" w:cs="Arial"/>
          <w:sz w:val="20"/>
          <w:szCs w:val="20"/>
        </w:rPr>
        <w:t>tridiário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paracetamol 1000 mg </w:t>
      </w:r>
      <w:proofErr w:type="spellStart"/>
      <w:r w:rsidRPr="008D4853">
        <w:rPr>
          <w:rFonts w:ascii="Arial" w:hAnsi="Arial" w:cs="Arial"/>
          <w:sz w:val="20"/>
          <w:szCs w:val="20"/>
        </w:rPr>
        <w:t>bidiário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e </w:t>
      </w:r>
      <w:proofErr w:type="spellStart"/>
      <w:r w:rsidRPr="008D4853">
        <w:rPr>
          <w:rFonts w:ascii="Arial" w:hAnsi="Arial" w:cs="Arial"/>
          <w:sz w:val="20"/>
          <w:szCs w:val="20"/>
        </w:rPr>
        <w:t>pregabalina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200 mg </w:t>
      </w:r>
      <w:proofErr w:type="spellStart"/>
      <w:r w:rsidRPr="008D4853">
        <w:rPr>
          <w:rFonts w:ascii="Arial" w:hAnsi="Arial" w:cs="Arial"/>
          <w:sz w:val="20"/>
          <w:szCs w:val="20"/>
        </w:rPr>
        <w:t>bidiario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Durante 3 meses foram </w:t>
      </w:r>
      <w:proofErr w:type="gramStart"/>
      <w:r w:rsidRPr="008D4853">
        <w:rPr>
          <w:rFonts w:ascii="Arial" w:hAnsi="Arial" w:cs="Arial"/>
          <w:sz w:val="20"/>
          <w:szCs w:val="20"/>
        </w:rPr>
        <w:t>realizadas</w:t>
      </w:r>
      <w:proofErr w:type="gramEnd"/>
      <w:r w:rsidRPr="008D4853">
        <w:rPr>
          <w:rFonts w:ascii="Arial" w:hAnsi="Arial" w:cs="Arial"/>
          <w:sz w:val="20"/>
          <w:szCs w:val="20"/>
        </w:rPr>
        <w:t xml:space="preserve"> 2 perfusões, durante uma hora cada, a primeira com </w:t>
      </w:r>
      <w:proofErr w:type="spellStart"/>
      <w:r w:rsidRPr="008D4853">
        <w:rPr>
          <w:rFonts w:ascii="Arial" w:hAnsi="Arial" w:cs="Arial"/>
          <w:sz w:val="20"/>
          <w:szCs w:val="20"/>
        </w:rPr>
        <w:t>ketamina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0,15 mg/kg e lidocaína 2,5 mg/kg, e a segunda com </w:t>
      </w:r>
      <w:proofErr w:type="spellStart"/>
      <w:r w:rsidRPr="008D4853">
        <w:rPr>
          <w:rFonts w:ascii="Arial" w:hAnsi="Arial" w:cs="Arial"/>
          <w:sz w:val="20"/>
          <w:szCs w:val="20"/>
        </w:rPr>
        <w:t>ketamina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0,3 mg/kg e lidocaína 2,5 mg/kg, que proporcionaram melhoria significativa na dor com EN máxima de 3, uma redução da frequência de episódios de dor e da dose de </w:t>
      </w:r>
      <w:proofErr w:type="spellStart"/>
      <w:r w:rsidRPr="008D4853">
        <w:rPr>
          <w:rFonts w:ascii="Arial" w:hAnsi="Arial" w:cs="Arial"/>
          <w:sz w:val="20"/>
          <w:szCs w:val="20"/>
        </w:rPr>
        <w:t>opióide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hAnsi="Arial" w:cs="Arial"/>
          <w:sz w:val="20"/>
          <w:szCs w:val="20"/>
        </w:rPr>
        <w:t>transdérmico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para 100 </w:t>
      </w:r>
      <w:proofErr w:type="spellStart"/>
      <w:r w:rsidRPr="008D4853">
        <w:rPr>
          <w:rFonts w:ascii="Arial" w:hAnsi="Arial" w:cs="Arial"/>
          <w:sz w:val="20"/>
          <w:szCs w:val="20"/>
        </w:rPr>
        <w:t>mcg</w:t>
      </w:r>
      <w:proofErr w:type="spellEnd"/>
      <w:r w:rsidRPr="008D4853">
        <w:rPr>
          <w:rFonts w:ascii="Arial" w:hAnsi="Arial" w:cs="Arial"/>
          <w:sz w:val="20"/>
          <w:szCs w:val="20"/>
        </w:rPr>
        <w:t>/dia.</w:t>
      </w:r>
    </w:p>
    <w:p w14:paraId="0ABAA290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No caso 2, doente do sexo feminino, 66 anos, com antecedentes de artrite </w:t>
      </w:r>
      <w:proofErr w:type="spellStart"/>
      <w:r w:rsidRPr="008D4853">
        <w:rPr>
          <w:rFonts w:ascii="Arial" w:hAnsi="Arial" w:cs="Arial"/>
          <w:sz w:val="20"/>
          <w:szCs w:val="20"/>
        </w:rPr>
        <w:t>reumatóide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tiroidite de </w:t>
      </w:r>
      <w:r w:rsidRPr="008D4853">
        <w:rPr>
          <w:rStyle w:val="nfase"/>
          <w:rFonts w:ascii="Arial" w:hAnsi="Arial" w:cs="Arial"/>
          <w:sz w:val="20"/>
          <w:szCs w:val="20"/>
        </w:rPr>
        <w:t>Hashimoto</w:t>
      </w:r>
      <w:r w:rsidRPr="008D4853">
        <w:rPr>
          <w:rFonts w:ascii="Arial" w:hAnsi="Arial" w:cs="Arial"/>
          <w:sz w:val="20"/>
          <w:szCs w:val="20"/>
        </w:rPr>
        <w:t xml:space="preserve">, referenciada à Unidade de Dor Crónica em 05/2022, por dor neuropática após episódio de </w:t>
      </w:r>
      <w:r w:rsidRPr="008D4853">
        <w:rPr>
          <w:rStyle w:val="nfase"/>
          <w:rFonts w:ascii="Arial" w:hAnsi="Arial" w:cs="Arial"/>
          <w:sz w:val="20"/>
          <w:szCs w:val="20"/>
        </w:rPr>
        <w:t xml:space="preserve">herpes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zoster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 </w:t>
      </w:r>
      <w:r w:rsidRPr="008D4853">
        <w:rPr>
          <w:rFonts w:ascii="Arial" w:hAnsi="Arial" w:cs="Arial"/>
          <w:sz w:val="20"/>
          <w:szCs w:val="20"/>
        </w:rPr>
        <w:t xml:space="preserve">há 1 ano com EN máxima de 9 e mínima de 7, sob </w:t>
      </w:r>
      <w:proofErr w:type="spellStart"/>
      <w:r w:rsidRPr="008D4853">
        <w:rPr>
          <w:rFonts w:ascii="Arial" w:hAnsi="Arial" w:cs="Arial"/>
          <w:sz w:val="20"/>
          <w:szCs w:val="20"/>
        </w:rPr>
        <w:t>tapentadol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150 mg/dia, </w:t>
      </w:r>
      <w:proofErr w:type="spellStart"/>
      <w:r w:rsidRPr="008D4853">
        <w:rPr>
          <w:rFonts w:ascii="Arial" w:hAnsi="Arial" w:cs="Arial"/>
          <w:sz w:val="20"/>
          <w:szCs w:val="20"/>
        </w:rPr>
        <w:t>gabapentina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400 mg </w:t>
      </w:r>
      <w:proofErr w:type="spellStart"/>
      <w:r w:rsidRPr="008D4853">
        <w:rPr>
          <w:rFonts w:ascii="Arial" w:hAnsi="Arial" w:cs="Arial"/>
          <w:sz w:val="20"/>
          <w:szCs w:val="20"/>
        </w:rPr>
        <w:t>tridiário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e paracetamol 1000 mg </w:t>
      </w:r>
      <w:proofErr w:type="spellStart"/>
      <w:r w:rsidRPr="008D4853">
        <w:rPr>
          <w:rFonts w:ascii="Arial" w:hAnsi="Arial" w:cs="Arial"/>
          <w:sz w:val="20"/>
          <w:szCs w:val="20"/>
        </w:rPr>
        <w:t>bidiário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Ao longo de 4 meses o caso 2 foi submetido a 3 perfusões, de uma hora cada, de </w:t>
      </w:r>
      <w:proofErr w:type="spellStart"/>
      <w:r w:rsidRPr="008D4853">
        <w:rPr>
          <w:rFonts w:ascii="Arial" w:hAnsi="Arial" w:cs="Arial"/>
          <w:sz w:val="20"/>
          <w:szCs w:val="20"/>
        </w:rPr>
        <w:t>ketamina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0,3 mg/kg e lidocaína 2,5 kg/mg que contribuíram para uma melhoria da qualidade do sono, e da EN da dor máxima para 3, associada à redução da dose de </w:t>
      </w:r>
      <w:proofErr w:type="spellStart"/>
      <w:r w:rsidRPr="008D4853">
        <w:rPr>
          <w:rFonts w:ascii="Arial" w:hAnsi="Arial" w:cs="Arial"/>
          <w:sz w:val="20"/>
          <w:szCs w:val="20"/>
        </w:rPr>
        <w:t>tapentadol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para 50 mg </w:t>
      </w:r>
      <w:proofErr w:type="spellStart"/>
      <w:r w:rsidRPr="008D4853">
        <w:rPr>
          <w:rFonts w:ascii="Arial" w:hAnsi="Arial" w:cs="Arial"/>
          <w:sz w:val="20"/>
          <w:szCs w:val="20"/>
        </w:rPr>
        <w:t>bidiário</w:t>
      </w:r>
      <w:proofErr w:type="spellEnd"/>
      <w:r w:rsidRPr="008D4853">
        <w:rPr>
          <w:rFonts w:ascii="Arial" w:hAnsi="Arial" w:cs="Arial"/>
          <w:sz w:val="20"/>
          <w:szCs w:val="20"/>
        </w:rPr>
        <w:t>.</w:t>
      </w:r>
    </w:p>
    <w:p w14:paraId="34FB3293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Em ambos os doentes </w:t>
      </w:r>
      <w:proofErr w:type="gramStart"/>
      <w:r w:rsidRPr="008D4853">
        <w:rPr>
          <w:rFonts w:ascii="Arial" w:hAnsi="Arial" w:cs="Arial"/>
          <w:sz w:val="20"/>
          <w:szCs w:val="20"/>
        </w:rPr>
        <w:t>as perfusões</w:t>
      </w:r>
      <w:proofErr w:type="gramEnd"/>
      <w:r w:rsidRPr="008D4853">
        <w:rPr>
          <w:rFonts w:ascii="Arial" w:hAnsi="Arial" w:cs="Arial"/>
          <w:sz w:val="20"/>
          <w:szCs w:val="20"/>
        </w:rPr>
        <w:t xml:space="preserve"> decorreram sem intercorrências e sem descrição de efeitos adversos evidentes no período pós-tratamento.</w:t>
      </w:r>
    </w:p>
    <w:p w14:paraId="23CFF716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7C46DDFB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Discussão</w:t>
      </w:r>
      <w:r w:rsidRPr="008D4853">
        <w:rPr>
          <w:rFonts w:ascii="Arial" w:hAnsi="Arial" w:cs="Arial"/>
          <w:sz w:val="20"/>
          <w:szCs w:val="20"/>
        </w:rPr>
        <w:t xml:space="preserve">: A perfusão com estes fármacos pode constituir uma abordagem terapêutica útil à dor crónica refratária ao tratamento, providenciando benefício analgésico significativo, e redução dos riscos associados ao tratamento com doses elevadas de </w:t>
      </w:r>
      <w:proofErr w:type="spellStart"/>
      <w:r w:rsidRPr="008D4853">
        <w:rPr>
          <w:rFonts w:ascii="Arial" w:hAnsi="Arial" w:cs="Arial"/>
          <w:sz w:val="20"/>
          <w:szCs w:val="20"/>
        </w:rPr>
        <w:t>opióides</w:t>
      </w:r>
      <w:proofErr w:type="spellEnd"/>
      <w:r w:rsidRPr="008D4853">
        <w:rPr>
          <w:rFonts w:ascii="Arial" w:hAnsi="Arial" w:cs="Arial"/>
          <w:sz w:val="20"/>
          <w:szCs w:val="20"/>
        </w:rPr>
        <w:t>.</w:t>
      </w:r>
    </w:p>
    <w:p w14:paraId="45BEE1F7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46EF9D44" w14:textId="77777777" w:rsidR="001307CB" w:rsidRPr="008D4853" w:rsidRDefault="001307CB" w:rsidP="001307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Referências:</w:t>
      </w:r>
    </w:p>
    <w:p w14:paraId="7171200D" w14:textId="77777777" w:rsidR="001307CB" w:rsidRPr="001A343E" w:rsidRDefault="001307CB" w:rsidP="001307CB">
      <w:pPr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1A343E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val="en-US"/>
        </w:rPr>
        <w:t xml:space="preserve">Ketamine In Acute and Chronic Pain Management. 2022. In: </w:t>
      </w:r>
      <w:proofErr w:type="spellStart"/>
      <w:r w:rsidRPr="001A343E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val="en-US"/>
        </w:rPr>
        <w:t>StatPearls</w:t>
      </w:r>
      <w:proofErr w:type="spellEnd"/>
      <w:r w:rsidRPr="001A343E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val="en-US"/>
        </w:rPr>
        <w:t xml:space="preserve"> [Internet]. Treasure Island (FL): </w:t>
      </w:r>
      <w:proofErr w:type="spellStart"/>
      <w:r w:rsidRPr="001A343E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val="en-US"/>
        </w:rPr>
        <w:t>StatPearls</w:t>
      </w:r>
      <w:proofErr w:type="spellEnd"/>
      <w:r w:rsidRPr="001A343E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val="en-US"/>
        </w:rPr>
        <w:t xml:space="preserve"> Publishing.</w:t>
      </w:r>
    </w:p>
    <w:p w14:paraId="1BE79793" w14:textId="77777777" w:rsidR="001307CB" w:rsidRPr="008D4853" w:rsidRDefault="001307CB" w:rsidP="001307CB">
      <w:pPr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t xml:space="preserve">Health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Psychology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Research. 2021; 9(1).</w:t>
      </w:r>
    </w:p>
    <w:p w14:paraId="1EAE97D4" w14:textId="77777777" w:rsidR="001307CB" w:rsidRPr="008D4853" w:rsidRDefault="001307CB" w:rsidP="001307CB">
      <w:p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lastRenderedPageBreak/>
        <w:br/>
      </w: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03670D" wp14:editId="3C9518B1">
            <wp:extent cx="1965960" cy="2606040"/>
            <wp:effectExtent l="0" t="0" r="0" b="381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3CEF" w14:textId="01944A47" w:rsidR="00FC35B8" w:rsidRPr="0061254B" w:rsidRDefault="00FC35B8" w:rsidP="0061254B">
      <w:pPr>
        <w:rPr>
          <w:rFonts w:ascii="Arial" w:eastAsia="Times New Roman" w:hAnsi="Arial" w:cs="Arial"/>
          <w:sz w:val="20"/>
          <w:szCs w:val="20"/>
        </w:rPr>
      </w:pPr>
    </w:p>
    <w:sectPr w:rsidR="00FC35B8" w:rsidRPr="00612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0"/>
  </w:num>
  <w:num w:numId="4" w16cid:durableId="1140810425">
    <w:abstractNumId w:val="8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7"/>
  </w:num>
  <w:num w:numId="8" w16cid:durableId="1755978351">
    <w:abstractNumId w:val="9"/>
  </w:num>
  <w:num w:numId="9" w16cid:durableId="431822853">
    <w:abstractNumId w:val="5"/>
  </w:num>
  <w:num w:numId="10" w16cid:durableId="48500991">
    <w:abstractNumId w:val="4"/>
  </w:num>
  <w:num w:numId="11" w16cid:durableId="850219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307CB"/>
    <w:rsid w:val="001B6790"/>
    <w:rsid w:val="001C61FC"/>
    <w:rsid w:val="00225892"/>
    <w:rsid w:val="0026086F"/>
    <w:rsid w:val="002938F9"/>
    <w:rsid w:val="002B76FE"/>
    <w:rsid w:val="00416AB4"/>
    <w:rsid w:val="004277A8"/>
    <w:rsid w:val="004723E7"/>
    <w:rsid w:val="0051787D"/>
    <w:rsid w:val="00533E41"/>
    <w:rsid w:val="0061254B"/>
    <w:rsid w:val="00630D4C"/>
    <w:rsid w:val="00670F9D"/>
    <w:rsid w:val="00674711"/>
    <w:rsid w:val="006C4C08"/>
    <w:rsid w:val="007D47C6"/>
    <w:rsid w:val="008008E2"/>
    <w:rsid w:val="00801562"/>
    <w:rsid w:val="00857D77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2023-03-15T15:13:00Z</dcterms:created>
  <dcterms:modified xsi:type="dcterms:W3CDTF">2023-03-15T15:13:00Z</dcterms:modified>
</cp:coreProperties>
</file>