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9F37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 xml:space="preserve">PO24 </w:t>
      </w:r>
      <w:r w:rsidRPr="008D4853">
        <w:rPr>
          <w:rStyle w:val="Forte"/>
          <w:rFonts w:ascii="Arial" w:hAnsi="Arial" w:cs="Arial"/>
          <w:sz w:val="20"/>
          <w:szCs w:val="20"/>
        </w:rPr>
        <w:t>ABORDAGEM DO PLEXO HIPOGÁSTRICO INFERIOR E DE RAIZES SAGRADAS EM DOR PÉLVICA CRÓNICA – CASO CLÍNICO</w:t>
      </w:r>
    </w:p>
    <w:p w14:paraId="57B2BD12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Mariano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Veiga(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João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Galacho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(1); Lucindo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Ormonde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>(1)</w:t>
      </w:r>
    </w:p>
    <w:p w14:paraId="7F0C4F4D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de Lisboa Norte, EPE / Hospital de Santa Maria </w:t>
      </w:r>
    </w:p>
    <w:p w14:paraId="164B2F2B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5D5D3134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Introdução:</w:t>
      </w:r>
      <w:r w:rsidRPr="008D4853">
        <w:rPr>
          <w:rFonts w:ascii="Arial" w:hAnsi="Arial" w:cs="Arial"/>
          <w:sz w:val="20"/>
          <w:szCs w:val="20"/>
        </w:rPr>
        <w:br/>
        <w:t>A dor pélvica é uma dor com origem visceral ou somática, localizada à região pélvica, parede</w:t>
      </w:r>
      <w:r w:rsidRPr="008D4853">
        <w:rPr>
          <w:rFonts w:ascii="Arial" w:hAnsi="Arial" w:cs="Arial"/>
          <w:sz w:val="20"/>
          <w:szCs w:val="20"/>
        </w:rPr>
        <w:br/>
        <w:t>abdominal anterior, região lombo-sagrada ou nádegas. 1</w:t>
      </w:r>
      <w:r w:rsidRPr="008D4853">
        <w:rPr>
          <w:rFonts w:ascii="Arial" w:hAnsi="Arial" w:cs="Arial"/>
          <w:sz w:val="20"/>
          <w:szCs w:val="20"/>
        </w:rPr>
        <w:br/>
        <w:t>Os plexos hipogástricos contêm fibras eferentes simpáticas pré e pós ganglionares, fibras</w:t>
      </w:r>
      <w:r w:rsidRPr="008D4853">
        <w:rPr>
          <w:rFonts w:ascii="Arial" w:hAnsi="Arial" w:cs="Arial"/>
          <w:sz w:val="20"/>
          <w:szCs w:val="20"/>
        </w:rPr>
        <w:br/>
        <w:t>parassimpáticas pré-ganglionares e fibras aferentes viscerais.</w:t>
      </w:r>
      <w:r w:rsidRPr="008D4853">
        <w:rPr>
          <w:rFonts w:ascii="Arial" w:hAnsi="Arial" w:cs="Arial"/>
          <w:sz w:val="20"/>
          <w:szCs w:val="20"/>
        </w:rPr>
        <w:br/>
        <w:t>O plexo hipogástrico inferior é uma estrutura com dois componentes, um esquerdo e um</w:t>
      </w:r>
      <w:r w:rsidRPr="008D4853">
        <w:rPr>
          <w:rFonts w:ascii="Arial" w:hAnsi="Arial" w:cs="Arial"/>
          <w:sz w:val="20"/>
          <w:szCs w:val="20"/>
        </w:rPr>
        <w:br/>
        <w:t>direito, interconectadas, na região anterior do sacro (ventral ao 2º, 3º e 4º forâmen) de cada</w:t>
      </w:r>
      <w:r w:rsidRPr="008D4853">
        <w:rPr>
          <w:rFonts w:ascii="Arial" w:hAnsi="Arial" w:cs="Arial"/>
          <w:sz w:val="20"/>
          <w:szCs w:val="20"/>
        </w:rPr>
        <w:br/>
        <w:t>lado do reto. Este plexo é formado por fibras eferentes simpáticas, fibras pré-ganglionares</w:t>
      </w:r>
      <w:r w:rsidRPr="008D4853">
        <w:rPr>
          <w:rFonts w:ascii="Arial" w:hAnsi="Arial" w:cs="Arial"/>
          <w:sz w:val="20"/>
          <w:szCs w:val="20"/>
        </w:rPr>
        <w:br/>
        <w:t>parassimpáticas dos nervos esplâncnicos e fibras aferentes viscerais. 2</w:t>
      </w:r>
      <w:r w:rsidRPr="008D4853">
        <w:rPr>
          <w:rFonts w:ascii="Arial" w:hAnsi="Arial" w:cs="Arial"/>
          <w:sz w:val="20"/>
          <w:szCs w:val="20"/>
        </w:rPr>
        <w:br/>
        <w:t>A abordagem do plexo hipogástrico inferior parece ter particular interesse em doentes com</w:t>
      </w:r>
      <w:r w:rsidRPr="008D4853">
        <w:rPr>
          <w:rFonts w:ascii="Arial" w:hAnsi="Arial" w:cs="Arial"/>
          <w:sz w:val="20"/>
          <w:szCs w:val="20"/>
        </w:rPr>
        <w:br/>
        <w:t>dor que envolva o pénis, vagina, reto, ânus, períneo e região pélvica baixa.</w:t>
      </w:r>
      <w:r w:rsidRPr="008D4853">
        <w:rPr>
          <w:rFonts w:ascii="Arial" w:hAnsi="Arial" w:cs="Arial"/>
          <w:sz w:val="20"/>
          <w:szCs w:val="20"/>
        </w:rPr>
        <w:br/>
        <w:t xml:space="preserve">A radiofrequência pulsada do gânglio da 3ª </w:t>
      </w:r>
      <w:proofErr w:type="spellStart"/>
      <w:r w:rsidRPr="008D4853">
        <w:rPr>
          <w:rFonts w:ascii="Arial" w:hAnsi="Arial" w:cs="Arial"/>
          <w:sz w:val="20"/>
          <w:szCs w:val="20"/>
        </w:rPr>
        <w:t>raíz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sagrada (S3), conjuntamente com o bloqueio</w:t>
      </w:r>
      <w:r w:rsidRPr="008D4853">
        <w:rPr>
          <w:rFonts w:ascii="Arial" w:hAnsi="Arial" w:cs="Arial"/>
          <w:sz w:val="20"/>
          <w:szCs w:val="20"/>
        </w:rPr>
        <w:br/>
        <w:t>do plexo hipogástrico inferior parece produzir melhores resultados em doentes com</w:t>
      </w:r>
      <w:r w:rsidRPr="008D4853">
        <w:rPr>
          <w:rFonts w:ascii="Arial" w:hAnsi="Arial" w:cs="Arial"/>
          <w:sz w:val="20"/>
          <w:szCs w:val="20"/>
        </w:rPr>
        <w:br/>
        <w:t>endometriose refratária e dor na região pélvica baixa. 3</w:t>
      </w:r>
    </w:p>
    <w:p w14:paraId="5B3574A7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Caso Clínico</w:t>
      </w:r>
      <w:r w:rsidRPr="008D4853">
        <w:rPr>
          <w:rFonts w:ascii="Arial" w:hAnsi="Arial" w:cs="Arial"/>
          <w:sz w:val="20"/>
          <w:szCs w:val="20"/>
        </w:rPr>
        <w:br/>
        <w:t xml:space="preserve">Descrevemos o caso de um homem, de 62 anos, com história de três cirurgias </w:t>
      </w:r>
      <w:proofErr w:type="spellStart"/>
      <w:r w:rsidRPr="008D4853">
        <w:rPr>
          <w:rFonts w:ascii="Arial" w:hAnsi="Arial" w:cs="Arial"/>
          <w:sz w:val="20"/>
          <w:szCs w:val="20"/>
        </w:rPr>
        <w:t>transuretrais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à</w:t>
      </w:r>
      <w:r w:rsidRPr="008D4853">
        <w:rPr>
          <w:rFonts w:ascii="Arial" w:hAnsi="Arial" w:cs="Arial"/>
          <w:sz w:val="20"/>
          <w:szCs w:val="20"/>
        </w:rPr>
        <w:br/>
        <w:t>próstata em 2019, após as quais desenvolveu quadro de dor pélvica crónica.</w:t>
      </w:r>
      <w:r w:rsidRPr="008D4853">
        <w:rPr>
          <w:rFonts w:ascii="Arial" w:hAnsi="Arial" w:cs="Arial"/>
          <w:sz w:val="20"/>
          <w:szCs w:val="20"/>
        </w:rPr>
        <w:br/>
        <w:t>Após a primeira avaliação, verificou-se que durante o processo de quadro álgico crónico, o</w:t>
      </w:r>
      <w:r w:rsidRPr="008D4853">
        <w:rPr>
          <w:rFonts w:ascii="Arial" w:hAnsi="Arial" w:cs="Arial"/>
          <w:sz w:val="20"/>
          <w:szCs w:val="20"/>
        </w:rPr>
        <w:br/>
        <w:t>doente terá sido diagnosticado com prostatite crónica, tendo realizado múltiplos ciclos de</w:t>
      </w:r>
      <w:r w:rsidRPr="008D4853">
        <w:rPr>
          <w:rFonts w:ascii="Arial" w:hAnsi="Arial" w:cs="Arial"/>
          <w:sz w:val="20"/>
          <w:szCs w:val="20"/>
        </w:rPr>
        <w:br/>
        <w:t>antibioterapia sem qualquer melhoria clínica.</w:t>
      </w:r>
      <w:r w:rsidRPr="008D4853">
        <w:rPr>
          <w:rFonts w:ascii="Arial" w:hAnsi="Arial" w:cs="Arial"/>
          <w:sz w:val="20"/>
          <w:szCs w:val="20"/>
        </w:rPr>
        <w:br/>
        <w:t xml:space="preserve">À nossa avaliação, o doente apresentava queixas de peso pélvico, ardor </w:t>
      </w:r>
      <w:proofErr w:type="spellStart"/>
      <w:r w:rsidRPr="008D4853">
        <w:rPr>
          <w:rFonts w:ascii="Arial" w:hAnsi="Arial" w:cs="Arial"/>
          <w:sz w:val="20"/>
          <w:szCs w:val="20"/>
        </w:rPr>
        <w:t>miccional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D4853">
        <w:rPr>
          <w:rFonts w:ascii="Arial" w:hAnsi="Arial" w:cs="Arial"/>
          <w:sz w:val="20"/>
          <w:szCs w:val="20"/>
        </w:rPr>
        <w:t>alodínia</w:t>
      </w:r>
      <w:proofErr w:type="spellEnd"/>
      <w:r w:rsidRPr="008D4853">
        <w:rPr>
          <w:rFonts w:ascii="Arial" w:hAnsi="Arial" w:cs="Arial"/>
          <w:sz w:val="20"/>
          <w:szCs w:val="20"/>
        </w:rPr>
        <w:br/>
        <w:t>cutânea que impossibilitava uso de algum vestuário, com importante impacto na sua</w:t>
      </w:r>
      <w:r w:rsidRPr="008D4853">
        <w:rPr>
          <w:rFonts w:ascii="Arial" w:hAnsi="Arial" w:cs="Arial"/>
          <w:sz w:val="20"/>
          <w:szCs w:val="20"/>
        </w:rPr>
        <w:br/>
        <w:t>qualidade de vida.</w:t>
      </w:r>
      <w:r w:rsidRPr="008D4853">
        <w:rPr>
          <w:rFonts w:ascii="Arial" w:hAnsi="Arial" w:cs="Arial"/>
          <w:sz w:val="20"/>
          <w:szCs w:val="20"/>
        </w:rPr>
        <w:br/>
        <w:t>Na primeira abordagem, e depois de excluída patologia urológica que justificasse as queixas,</w:t>
      </w:r>
      <w:r w:rsidRPr="008D4853">
        <w:rPr>
          <w:rFonts w:ascii="Arial" w:hAnsi="Arial" w:cs="Arial"/>
          <w:sz w:val="20"/>
          <w:szCs w:val="20"/>
        </w:rPr>
        <w:br/>
        <w:t>iniciou-se medicação oral (</w:t>
      </w:r>
      <w:proofErr w:type="spellStart"/>
      <w:r w:rsidRPr="008D4853">
        <w:rPr>
          <w:rFonts w:ascii="Arial" w:hAnsi="Arial" w:cs="Arial"/>
          <w:sz w:val="20"/>
          <w:szCs w:val="20"/>
        </w:rPr>
        <w:t>gabapentinóides</w:t>
      </w:r>
      <w:proofErr w:type="spellEnd"/>
      <w:r w:rsidRPr="008D4853">
        <w:rPr>
          <w:rFonts w:ascii="Arial" w:hAnsi="Arial" w:cs="Arial"/>
          <w:sz w:val="20"/>
          <w:szCs w:val="20"/>
        </w:rPr>
        <w:t>, antidepressivo tricíclico, inibidor da recaptação de</w:t>
      </w:r>
      <w:r w:rsidRPr="008D4853">
        <w:rPr>
          <w:rFonts w:ascii="Arial" w:hAnsi="Arial" w:cs="Arial"/>
          <w:sz w:val="20"/>
          <w:szCs w:val="20"/>
        </w:rPr>
        <w:br/>
        <w:t>noradrenalina e serotonina), sem resultados positivos.</w:t>
      </w:r>
      <w:r w:rsidRPr="008D4853">
        <w:rPr>
          <w:rFonts w:ascii="Arial" w:hAnsi="Arial" w:cs="Arial"/>
          <w:sz w:val="20"/>
          <w:szCs w:val="20"/>
        </w:rPr>
        <w:br/>
        <w:t>Desta forma, foi decidido avanção para a realização de radiofrequência pulsada de gânglio da</w:t>
      </w:r>
      <w:r w:rsidRPr="008D4853">
        <w:rPr>
          <w:rFonts w:ascii="Arial" w:hAnsi="Arial" w:cs="Arial"/>
          <w:sz w:val="20"/>
          <w:szCs w:val="20"/>
        </w:rPr>
        <w:br/>
      </w:r>
      <w:proofErr w:type="spellStart"/>
      <w:r w:rsidRPr="008D4853">
        <w:rPr>
          <w:rFonts w:ascii="Arial" w:hAnsi="Arial" w:cs="Arial"/>
          <w:sz w:val="20"/>
          <w:szCs w:val="20"/>
        </w:rPr>
        <w:t>raíz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dorsal (DRG) de S3 bilateralmente e bloqueio de plexo hipogástrico inferior.</w:t>
      </w:r>
      <w:r w:rsidRPr="008D4853">
        <w:rPr>
          <w:rFonts w:ascii="Arial" w:hAnsi="Arial" w:cs="Arial"/>
          <w:sz w:val="20"/>
          <w:szCs w:val="20"/>
        </w:rPr>
        <w:br/>
        <w:t>A técnica foi realizada sob controlo fluoroscópico e anestesia local, com confirmação</w:t>
      </w:r>
      <w:r w:rsidRPr="008D4853">
        <w:rPr>
          <w:rFonts w:ascii="Arial" w:hAnsi="Arial" w:cs="Arial"/>
          <w:sz w:val="20"/>
          <w:szCs w:val="20"/>
        </w:rPr>
        <w:br/>
        <w:t>posicional sob administração de contraste iodado e estimulação sensitiva de DRG de S3</w:t>
      </w:r>
      <w:r w:rsidRPr="008D4853">
        <w:rPr>
          <w:rFonts w:ascii="Arial" w:hAnsi="Arial" w:cs="Arial"/>
          <w:sz w:val="20"/>
          <w:szCs w:val="20"/>
        </w:rPr>
        <w:br/>
        <w:t>bilateralmente.</w:t>
      </w:r>
    </w:p>
    <w:p w14:paraId="2CC8FF90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Foram administrados 6ml por lado de uma mistura de </w:t>
      </w:r>
      <w:proofErr w:type="spellStart"/>
      <w:r w:rsidRPr="008D4853">
        <w:rPr>
          <w:rFonts w:ascii="Arial" w:hAnsi="Arial" w:cs="Arial"/>
          <w:sz w:val="20"/>
          <w:szCs w:val="20"/>
        </w:rPr>
        <w:t>bupivacaína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 0.1%+8mg de</w:t>
      </w:r>
      <w:r w:rsidRPr="008D4853">
        <w:rPr>
          <w:rFonts w:ascii="Arial" w:hAnsi="Arial" w:cs="Arial"/>
          <w:sz w:val="20"/>
          <w:szCs w:val="20"/>
        </w:rPr>
        <w:br/>
      </w:r>
      <w:proofErr w:type="spellStart"/>
      <w:r w:rsidRPr="008D4853">
        <w:rPr>
          <w:rFonts w:ascii="Arial" w:hAnsi="Arial" w:cs="Arial"/>
          <w:sz w:val="20"/>
          <w:szCs w:val="20"/>
        </w:rPr>
        <w:t>dexametasona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  <w:r w:rsidRPr="008D4853">
        <w:rPr>
          <w:rFonts w:ascii="Arial" w:hAnsi="Arial" w:cs="Arial"/>
          <w:sz w:val="20"/>
          <w:szCs w:val="20"/>
        </w:rPr>
        <w:br/>
        <w:t xml:space="preserve">Durante o </w:t>
      </w:r>
      <w:proofErr w:type="spellStart"/>
      <w:r w:rsidRPr="008D4853">
        <w:rPr>
          <w:rFonts w:ascii="Arial" w:hAnsi="Arial" w:cs="Arial"/>
          <w:sz w:val="20"/>
          <w:szCs w:val="20"/>
        </w:rPr>
        <w:t>follow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up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do doente, aos 2, 4 e 6 meses, o doente nega </w:t>
      </w:r>
      <w:proofErr w:type="spellStart"/>
      <w:r w:rsidRPr="008D4853">
        <w:rPr>
          <w:rFonts w:ascii="Arial" w:hAnsi="Arial" w:cs="Arial"/>
          <w:sz w:val="20"/>
          <w:szCs w:val="20"/>
        </w:rPr>
        <w:t>alodínia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cutânea, ardor</w:t>
      </w:r>
      <w:r w:rsidRPr="008D4853">
        <w:rPr>
          <w:rFonts w:ascii="Arial" w:hAnsi="Arial" w:cs="Arial"/>
          <w:sz w:val="20"/>
          <w:szCs w:val="20"/>
        </w:rPr>
        <w:br/>
      </w:r>
      <w:proofErr w:type="spellStart"/>
      <w:r w:rsidRPr="008D4853">
        <w:rPr>
          <w:rFonts w:ascii="Arial" w:hAnsi="Arial" w:cs="Arial"/>
          <w:sz w:val="20"/>
          <w:szCs w:val="20"/>
        </w:rPr>
        <w:t>miccional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melhoria da sensação de peso pélvico. Foi possível titular negativamente a</w:t>
      </w:r>
      <w:r w:rsidRPr="008D4853">
        <w:rPr>
          <w:rFonts w:ascii="Arial" w:hAnsi="Arial" w:cs="Arial"/>
          <w:sz w:val="20"/>
          <w:szCs w:val="20"/>
        </w:rPr>
        <w:br/>
      </w:r>
      <w:proofErr w:type="spellStart"/>
      <w:r w:rsidRPr="008D4853">
        <w:rPr>
          <w:rFonts w:ascii="Arial" w:hAnsi="Arial" w:cs="Arial"/>
          <w:sz w:val="20"/>
          <w:szCs w:val="20"/>
        </w:rPr>
        <w:t>gabapentina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(até à sua suspensão), mantendo apenas o antidepressivo tricíclico em baixa</w:t>
      </w:r>
      <w:r w:rsidRPr="008D4853">
        <w:rPr>
          <w:rFonts w:ascii="Arial" w:hAnsi="Arial" w:cs="Arial"/>
          <w:sz w:val="20"/>
          <w:szCs w:val="20"/>
        </w:rPr>
        <w:br/>
        <w:t>dose.</w:t>
      </w:r>
    </w:p>
    <w:p w14:paraId="3601096F" w14:textId="77777777" w:rsidR="003E41BB" w:rsidRPr="008D4853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Discussão</w:t>
      </w:r>
      <w:r w:rsidRPr="008D4853">
        <w:rPr>
          <w:rFonts w:ascii="Arial" w:hAnsi="Arial" w:cs="Arial"/>
          <w:sz w:val="20"/>
          <w:szCs w:val="20"/>
        </w:rPr>
        <w:br/>
        <w:t>As técnicas de intervenção em dor pélvica são estratégias obrigatórias de figurar durante a</w:t>
      </w:r>
      <w:r w:rsidRPr="008D4853">
        <w:rPr>
          <w:rFonts w:ascii="Arial" w:hAnsi="Arial" w:cs="Arial"/>
          <w:sz w:val="20"/>
          <w:szCs w:val="20"/>
        </w:rPr>
        <w:br/>
        <w:t xml:space="preserve">abordagem clínica destes doentes, com </w:t>
      </w:r>
      <w:proofErr w:type="spellStart"/>
      <w:r w:rsidRPr="008D4853">
        <w:rPr>
          <w:rFonts w:ascii="Arial" w:hAnsi="Arial" w:cs="Arial"/>
          <w:sz w:val="20"/>
          <w:szCs w:val="20"/>
        </w:rPr>
        <w:t>refratariedade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ao tratamento conservador.</w:t>
      </w:r>
    </w:p>
    <w:p w14:paraId="60D3C429" w14:textId="77777777" w:rsidR="003E41BB" w:rsidRPr="001A343E" w:rsidRDefault="003E41BB" w:rsidP="003E41B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1 – 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Anesth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 xml:space="preserve"> Pain Med. 2021February; 11(1)</w:t>
      </w:r>
      <w:r w:rsidRPr="001A343E">
        <w:rPr>
          <w:rFonts w:ascii="Arial" w:hAnsi="Arial" w:cs="Arial"/>
          <w:sz w:val="20"/>
          <w:szCs w:val="20"/>
          <w:lang w:val="en-US"/>
        </w:rPr>
        <w:br/>
        <w:t>2 – Pain Physician 2007; 10:757-763</w:t>
      </w:r>
      <w:r w:rsidRPr="001A343E">
        <w:rPr>
          <w:rFonts w:ascii="Arial" w:hAnsi="Arial" w:cs="Arial"/>
          <w:sz w:val="20"/>
          <w:szCs w:val="20"/>
          <w:lang w:val="en-US"/>
        </w:rPr>
        <w:br/>
        <w:t>3 – J Pers Med. 2022 Jan 13;12(1):101</w:t>
      </w:r>
    </w:p>
    <w:p w14:paraId="407E3CEF" w14:textId="01944A47" w:rsidR="00FC35B8" w:rsidRPr="003E41BB" w:rsidRDefault="00FC35B8" w:rsidP="0061254B">
      <w:pPr>
        <w:rPr>
          <w:rFonts w:ascii="Arial" w:eastAsia="Times New Roman" w:hAnsi="Arial" w:cs="Arial"/>
          <w:sz w:val="20"/>
          <w:szCs w:val="20"/>
          <w:lang w:val="en-US"/>
        </w:rPr>
      </w:pPr>
    </w:p>
    <w:sectPr w:rsidR="00FC35B8" w:rsidRPr="003E4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0"/>
  </w:num>
  <w:num w:numId="4" w16cid:durableId="1140810425">
    <w:abstractNumId w:val="8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7"/>
  </w:num>
  <w:num w:numId="8" w16cid:durableId="1755978351">
    <w:abstractNumId w:val="9"/>
  </w:num>
  <w:num w:numId="9" w16cid:durableId="431822853">
    <w:abstractNumId w:val="5"/>
  </w:num>
  <w:num w:numId="10" w16cid:durableId="48500991">
    <w:abstractNumId w:val="4"/>
  </w:num>
  <w:num w:numId="11" w16cid:durableId="850219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307CB"/>
    <w:rsid w:val="001B6790"/>
    <w:rsid w:val="001C61FC"/>
    <w:rsid w:val="00225892"/>
    <w:rsid w:val="0026086F"/>
    <w:rsid w:val="002938F9"/>
    <w:rsid w:val="002B76FE"/>
    <w:rsid w:val="003E41BB"/>
    <w:rsid w:val="00416AB4"/>
    <w:rsid w:val="004277A8"/>
    <w:rsid w:val="004723E7"/>
    <w:rsid w:val="0051787D"/>
    <w:rsid w:val="00533E41"/>
    <w:rsid w:val="0061254B"/>
    <w:rsid w:val="00630D4C"/>
    <w:rsid w:val="00670F9D"/>
    <w:rsid w:val="00674711"/>
    <w:rsid w:val="006C4C08"/>
    <w:rsid w:val="007D47C6"/>
    <w:rsid w:val="008008E2"/>
    <w:rsid w:val="00801562"/>
    <w:rsid w:val="00857D77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2023-03-15T15:15:00Z</dcterms:created>
  <dcterms:modified xsi:type="dcterms:W3CDTF">2023-03-15T15:15:00Z</dcterms:modified>
</cp:coreProperties>
</file>