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CA25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 xml:space="preserve">30   Além das Expectativas: Um Caso de Anafilaxia Causada por </w:t>
      </w: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Sugammadex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 xml:space="preserve"> Revelada como Diagnóstico Diferencial</w:t>
      </w:r>
    </w:p>
    <w:p w14:paraId="7C59CB53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Inês Portugal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Rodrigues(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 xml:space="preserve">1); Rafaela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Noversa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>(1); Diogo Lobo(1); Cristina Pereira(1)</w:t>
      </w:r>
    </w:p>
    <w:p w14:paraId="1BDA1FD9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Unidade Local de Saúde de Matosinhos, EPE / Hospital Pedro Hispano </w:t>
      </w:r>
    </w:p>
    <w:p w14:paraId="1A048281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A0F4AF5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Introdução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: 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Sugammadex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é um fármaco considerado eficaz e seguro, sendo reações adversas como anafilaxia extremamente raras. O atraso no seu diagnóstico e tratamento associa-se a aumento da morbilidade (1). Descrevemos uma provável reação anafilática ao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Sugammadex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.</w:t>
      </w:r>
    </w:p>
    <w:p w14:paraId="77BB6667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Caso Clínico: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 Doente do sexo feminino, 64 anos, ASA II, com antecedentes de asma e alergia à penicilina, sem anestesias prévias. Submetida 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segmentectomia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hepática por quisto hidático. Anestesia Combinada (Geral Balanceada e Bloqueio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Subaracnoideu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com morfina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intratecal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). Pré-medicada com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clemastina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2mg 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metilprednisolona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125mg. Profilaxia antibiótica com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Clindamicina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900mg e Gentamicina 300mg. Relaxamento neuromuscular (NM) com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rocurónio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com monitorização usando 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train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-of-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four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. Monitorização invasiva das pressões arteriais (PA), com PA média entre 75-124 mmHg e frequência cardíaca entre 58-76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bpm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. De intercorrências cirúrgicas realça-se uma perfuração do diafragma, com sutura direta. </w:t>
      </w:r>
    </w:p>
    <w:p w14:paraId="6B546F9B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Na emergência anestésica foi administrado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Sugammadex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200mg (3mg/kg). Um minuto depois, foi observada hipotensão severa (PA 70/40mmHg), taquicardia (90-100bpm) e aumento das pressões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ventilatórias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Ppico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&gt;40mmHg) com silêncio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auscultatório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sem alterações cutâneas. Dada a intercorrência, a doente foi posicionada em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Trendelenburg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 xml:space="preserve"> 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e foi realizada ressuscitação com fluidos e administrados um total de 20 mg de efedrina, 400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de salbutamol e 80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de brometo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ipratrópio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. </w:t>
      </w:r>
    </w:p>
    <w:p w14:paraId="214A869F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Realizado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Point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-Of-Care-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Ultrassound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(POCUS) com exclusão de pneumotórax ou causas cardíacas óbvias. Constatada reversão do quadro clínico em poucos minutos, com as medidas instituídas. Feita colheita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triptases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8D4853">
        <w:rPr>
          <w:rFonts w:ascii="Arial" w:hAnsi="Arial" w:cs="Arial"/>
          <w:color w:val="000000"/>
          <w:sz w:val="20"/>
          <w:szCs w:val="20"/>
        </w:rPr>
        <w:t>séricas,(</w:t>
      </w:r>
      <w:proofErr w:type="gramEnd"/>
      <w:r w:rsidRPr="008D4853">
        <w:rPr>
          <w:rFonts w:ascii="Arial" w:hAnsi="Arial" w:cs="Arial"/>
          <w:color w:val="000000"/>
          <w:sz w:val="20"/>
          <w:szCs w:val="20"/>
        </w:rPr>
        <w:t>134ng/ml).</w:t>
      </w:r>
    </w:p>
    <w:p w14:paraId="431B383C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A doente foi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extubada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com sucesso, com pós-operatório em Unidade de Cuidados Intensivos e alta para a enfermaria em dois dias. Referenciada para consulta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Imunoalergologia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.</w:t>
      </w:r>
    </w:p>
    <w:p w14:paraId="064931AA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Discussão: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 O caso descrito corresponde a uma provável anafilaxia ao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Sugammadex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dada a relação temporal de administração, elevação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triptases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 ausência de nexo de causalidade com outros fármacos ou eventos.</w:t>
      </w:r>
    </w:p>
    <w:p w14:paraId="4102EE65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Foram excluídas outras hipóteses diagnósticas: anafilaxia por manipulação de um quisto hidático; pneumotórax hipertensivo pela perfuração diafragmática iatrogénica; exacerbação de asma com broncoespasmo severo. </w:t>
      </w:r>
    </w:p>
    <w:p w14:paraId="288075E7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Este caso demonstra a importância do POCUS na avaliação rápida do doente em choque.</w:t>
      </w:r>
    </w:p>
    <w:p w14:paraId="6337F742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Apesar de ser uma reação alérgica grau III verificou-se uma reversão sem administração de adrenalina, algo presente na literatura em cerca de 25% dos casos (2).</w:t>
      </w:r>
    </w:p>
    <w:p w14:paraId="75157EBB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Pode haver aumento do número de reações adversas com sobredosagem do fármaco, pelo que se recomenda o uso da dose adequada, consoante a monitorização do bloqueio NM (3).</w:t>
      </w:r>
    </w:p>
    <w:p w14:paraId="54ABD161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Conclusão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: Apesar de raras, as reações anafiláticas ao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Sugammadex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podem ocorrer, pelo que se aconselha monitorização do bloqueio NM, reversão com a dose correta e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awareness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para esta entidade.</w:t>
      </w:r>
    </w:p>
    <w:p w14:paraId="5E8C6368" w14:textId="77777777" w:rsidR="00AC2930" w:rsidRPr="008D4853" w:rsidRDefault="00AC2930" w:rsidP="00AC293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Referências:</w:t>
      </w:r>
      <w:r w:rsidRPr="008D4853">
        <w:rPr>
          <w:rFonts w:ascii="Arial" w:hAnsi="Arial" w:cs="Arial"/>
          <w:color w:val="000000"/>
          <w:sz w:val="20"/>
          <w:szCs w:val="20"/>
        </w:rPr>
        <w:t>  1. </w:t>
      </w:r>
      <w:proofErr w:type="spellStart"/>
      <w:r w:rsidRPr="008D4853">
        <w:rPr>
          <w:rFonts w:ascii="Arial" w:hAnsi="Arial" w:cs="Arial"/>
          <w:color w:val="333333"/>
          <w:sz w:val="20"/>
          <w:szCs w:val="20"/>
          <w:shd w:val="clear" w:color="auto" w:fill="FFFFFF"/>
        </w:rPr>
        <w:t>Anesth</w:t>
      </w:r>
      <w:proofErr w:type="spellEnd"/>
      <w:r w:rsidRPr="008D48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D4853">
        <w:rPr>
          <w:rFonts w:ascii="Arial" w:hAnsi="Arial" w:cs="Arial"/>
          <w:color w:val="333333"/>
          <w:sz w:val="20"/>
          <w:szCs w:val="20"/>
          <w:shd w:val="clear" w:color="auto" w:fill="FFFFFF"/>
        </w:rPr>
        <w:t>Pain</w:t>
      </w:r>
      <w:proofErr w:type="spellEnd"/>
      <w:r w:rsidRPr="008D48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Med. 2019;14(3):294-298; 2. </w:t>
      </w:r>
      <w:r w:rsidRPr="008D4853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J </w:t>
      </w:r>
      <w:proofErr w:type="spellStart"/>
      <w:r w:rsidRPr="008D4853">
        <w:rPr>
          <w:rFonts w:ascii="Arial" w:hAnsi="Arial" w:cs="Arial"/>
          <w:color w:val="212121"/>
          <w:sz w:val="20"/>
          <w:szCs w:val="20"/>
          <w:shd w:val="clear" w:color="auto" w:fill="FFFFFF"/>
        </w:rPr>
        <w:t>Anaesthesiol</w:t>
      </w:r>
      <w:proofErr w:type="spellEnd"/>
      <w:r w:rsidRPr="008D4853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Pr="008D4853">
        <w:rPr>
          <w:rFonts w:ascii="Arial" w:hAnsi="Arial" w:cs="Arial"/>
          <w:color w:val="212121"/>
          <w:sz w:val="20"/>
          <w:szCs w:val="20"/>
          <w:shd w:val="clear" w:color="auto" w:fill="FFFFFF"/>
        </w:rPr>
        <w:t>Clin</w:t>
      </w:r>
      <w:proofErr w:type="spellEnd"/>
      <w:r w:rsidRPr="008D4853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Pr="008D4853">
        <w:rPr>
          <w:rFonts w:ascii="Arial" w:hAnsi="Arial" w:cs="Arial"/>
          <w:color w:val="212121"/>
          <w:sz w:val="20"/>
          <w:szCs w:val="20"/>
          <w:shd w:val="clear" w:color="auto" w:fill="FFFFFF"/>
        </w:rPr>
        <w:t>Pharmacol</w:t>
      </w:r>
      <w:proofErr w:type="spellEnd"/>
      <w:r w:rsidRPr="008D4853">
        <w:rPr>
          <w:rFonts w:ascii="Arial" w:hAnsi="Arial" w:cs="Arial"/>
          <w:color w:val="212121"/>
          <w:sz w:val="20"/>
          <w:szCs w:val="20"/>
          <w:shd w:val="clear" w:color="auto" w:fill="FFFFFF"/>
        </w:rPr>
        <w:t>. 2021 Apr-Jun;37(2):153-159; 3. </w:t>
      </w:r>
      <w:r w:rsidRPr="008D4853">
        <w:rPr>
          <w:rFonts w:ascii="Arial" w:hAnsi="Arial" w:cs="Arial"/>
          <w:color w:val="333333"/>
          <w:sz w:val="20"/>
          <w:szCs w:val="20"/>
          <w:shd w:val="clear" w:color="auto" w:fill="FFFFFF"/>
        </w:rPr>
        <w:t>JARSS 2020;28(4):310-3</w:t>
      </w:r>
    </w:p>
    <w:p w14:paraId="407E3CEF" w14:textId="72E1C90C" w:rsidR="00FC35B8" w:rsidRPr="00035449" w:rsidRDefault="00FC35B8" w:rsidP="004A4738">
      <w:pPr>
        <w:rPr>
          <w:rFonts w:ascii="Arial" w:eastAsia="Times New Roman" w:hAnsi="Arial" w:cs="Arial"/>
          <w:sz w:val="20"/>
          <w:szCs w:val="20"/>
        </w:rPr>
      </w:pPr>
    </w:p>
    <w:sectPr w:rsidR="00FC35B8" w:rsidRPr="000354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0"/>
  </w:num>
  <w:num w:numId="4" w16cid:durableId="1140810425">
    <w:abstractNumId w:val="8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7"/>
  </w:num>
  <w:num w:numId="8" w16cid:durableId="1755978351">
    <w:abstractNumId w:val="9"/>
  </w:num>
  <w:num w:numId="9" w16cid:durableId="431822853">
    <w:abstractNumId w:val="5"/>
  </w:num>
  <w:num w:numId="10" w16cid:durableId="48500991">
    <w:abstractNumId w:val="4"/>
  </w:num>
  <w:num w:numId="11" w16cid:durableId="850219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B6790"/>
    <w:rsid w:val="001C61FC"/>
    <w:rsid w:val="00225892"/>
    <w:rsid w:val="0026086F"/>
    <w:rsid w:val="00273284"/>
    <w:rsid w:val="002938F9"/>
    <w:rsid w:val="002B76FE"/>
    <w:rsid w:val="003E41BB"/>
    <w:rsid w:val="00416AB4"/>
    <w:rsid w:val="004277A8"/>
    <w:rsid w:val="004723E7"/>
    <w:rsid w:val="004A4738"/>
    <w:rsid w:val="0051787D"/>
    <w:rsid w:val="00533E41"/>
    <w:rsid w:val="0061254B"/>
    <w:rsid w:val="00630D4C"/>
    <w:rsid w:val="00640925"/>
    <w:rsid w:val="00670F9D"/>
    <w:rsid w:val="00674711"/>
    <w:rsid w:val="006C4C08"/>
    <w:rsid w:val="007D47C6"/>
    <w:rsid w:val="008008E2"/>
    <w:rsid w:val="00801562"/>
    <w:rsid w:val="00857D77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2023-03-15T15:18:00Z</dcterms:created>
  <dcterms:modified xsi:type="dcterms:W3CDTF">2023-03-15T15:18:00Z</dcterms:modified>
</cp:coreProperties>
</file>