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ACA25" w14:textId="77777777" w:rsidR="00AC2930" w:rsidRPr="008D4853" w:rsidRDefault="00AC2930" w:rsidP="00AC293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Style w:val="Forte"/>
          <w:rFonts w:ascii="Arial" w:hAnsi="Arial" w:cs="Arial"/>
          <w:sz w:val="20"/>
          <w:szCs w:val="20"/>
        </w:rPr>
        <w:t>PO</w:t>
      </w:r>
      <w:r w:rsidRPr="008D4853">
        <w:rPr>
          <w:rStyle w:val="Forte"/>
          <w:rFonts w:ascii="Arial" w:hAnsi="Arial" w:cs="Arial"/>
          <w:sz w:val="20"/>
          <w:szCs w:val="20"/>
        </w:rPr>
        <w:t xml:space="preserve">30   Além das Expectativas: Um Caso de Anafilaxia Causada por </w:t>
      </w:r>
      <w:proofErr w:type="spellStart"/>
      <w:r w:rsidRPr="008D4853">
        <w:rPr>
          <w:rStyle w:val="Forte"/>
          <w:rFonts w:ascii="Arial" w:hAnsi="Arial" w:cs="Arial"/>
          <w:sz w:val="20"/>
          <w:szCs w:val="20"/>
        </w:rPr>
        <w:t>Sugammadex</w:t>
      </w:r>
      <w:proofErr w:type="spellEnd"/>
      <w:r w:rsidRPr="008D4853">
        <w:rPr>
          <w:rStyle w:val="Forte"/>
          <w:rFonts w:ascii="Arial" w:hAnsi="Arial" w:cs="Arial"/>
          <w:sz w:val="20"/>
          <w:szCs w:val="20"/>
        </w:rPr>
        <w:t xml:space="preserve"> Revelada como Diagnóstico Diferencial</w:t>
      </w:r>
    </w:p>
    <w:p w14:paraId="7C59CB53" w14:textId="77777777" w:rsidR="00AC2930" w:rsidRPr="008D4853" w:rsidRDefault="00AC2930" w:rsidP="00AC293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nfase"/>
          <w:rFonts w:ascii="Arial" w:hAnsi="Arial" w:cs="Arial"/>
          <w:sz w:val="20"/>
          <w:szCs w:val="20"/>
        </w:rPr>
        <w:t xml:space="preserve">Inês Portugal </w:t>
      </w:r>
      <w:proofErr w:type="gramStart"/>
      <w:r w:rsidRPr="008D4853">
        <w:rPr>
          <w:rStyle w:val="nfase"/>
          <w:rFonts w:ascii="Arial" w:hAnsi="Arial" w:cs="Arial"/>
          <w:sz w:val="20"/>
          <w:szCs w:val="20"/>
        </w:rPr>
        <w:t>Rodrigues(</w:t>
      </w:r>
      <w:proofErr w:type="gramEnd"/>
      <w:r w:rsidRPr="008D4853">
        <w:rPr>
          <w:rStyle w:val="nfase"/>
          <w:rFonts w:ascii="Arial" w:hAnsi="Arial" w:cs="Arial"/>
          <w:sz w:val="20"/>
          <w:szCs w:val="20"/>
        </w:rPr>
        <w:t xml:space="preserve">1); Rafaela </w:t>
      </w:r>
      <w:proofErr w:type="spellStart"/>
      <w:r w:rsidRPr="008D4853">
        <w:rPr>
          <w:rStyle w:val="nfase"/>
          <w:rFonts w:ascii="Arial" w:hAnsi="Arial" w:cs="Arial"/>
          <w:sz w:val="20"/>
          <w:szCs w:val="20"/>
        </w:rPr>
        <w:t>Noversa</w:t>
      </w:r>
      <w:proofErr w:type="spellEnd"/>
      <w:r w:rsidRPr="008D4853">
        <w:rPr>
          <w:rStyle w:val="nfase"/>
          <w:rFonts w:ascii="Arial" w:hAnsi="Arial" w:cs="Arial"/>
          <w:sz w:val="20"/>
          <w:szCs w:val="20"/>
        </w:rPr>
        <w:t>(1); Diogo Lobo(1); Cristina Pereira(1)</w:t>
      </w:r>
    </w:p>
    <w:p w14:paraId="1BDA1FD9" w14:textId="77777777" w:rsidR="00AC2930" w:rsidRPr="008D4853" w:rsidRDefault="00AC2930" w:rsidP="00AC293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nfase"/>
          <w:rFonts w:ascii="Arial" w:hAnsi="Arial" w:cs="Arial"/>
          <w:sz w:val="20"/>
          <w:szCs w:val="20"/>
        </w:rPr>
        <w:t xml:space="preserve">(1) Unidade Local de Saúde de Matosinhos, EPE / Hospital Pedro Hispano </w:t>
      </w:r>
    </w:p>
    <w:p w14:paraId="1A048281" w14:textId="77777777" w:rsidR="00AC2930" w:rsidRPr="008D4853" w:rsidRDefault="00AC2930" w:rsidP="00AC293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3A0F4AF5" w14:textId="77777777" w:rsidR="00AC2930" w:rsidRPr="008D4853" w:rsidRDefault="00AC2930" w:rsidP="00AC293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color w:val="000000"/>
          <w:sz w:val="20"/>
          <w:szCs w:val="20"/>
        </w:rPr>
        <w:t>Introdução</w:t>
      </w:r>
      <w:r w:rsidRPr="008D4853">
        <w:rPr>
          <w:rFonts w:ascii="Arial" w:hAnsi="Arial" w:cs="Arial"/>
          <w:color w:val="000000"/>
          <w:sz w:val="20"/>
          <w:szCs w:val="20"/>
        </w:rPr>
        <w:t xml:space="preserve">: O </w:t>
      </w:r>
      <w:proofErr w:type="spellStart"/>
      <w:r w:rsidRPr="008D4853">
        <w:rPr>
          <w:rStyle w:val="nfase"/>
          <w:rFonts w:ascii="Arial" w:hAnsi="Arial" w:cs="Arial"/>
          <w:color w:val="000000"/>
          <w:sz w:val="20"/>
          <w:szCs w:val="20"/>
        </w:rPr>
        <w:t>Sugammadex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é um fármaco considerado eficaz e seguro, sendo reações adversas como anafilaxia extremamente raras. O atraso no seu diagnóstico e tratamento associa-se a aumento da morbilidade (1). Descrevemos uma provável reação anafilática ao </w:t>
      </w:r>
      <w:proofErr w:type="spellStart"/>
      <w:r w:rsidRPr="008D4853">
        <w:rPr>
          <w:rStyle w:val="nfase"/>
          <w:rFonts w:ascii="Arial" w:hAnsi="Arial" w:cs="Arial"/>
          <w:color w:val="000000"/>
          <w:sz w:val="20"/>
          <w:szCs w:val="20"/>
        </w:rPr>
        <w:t>Sugammadex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>.</w:t>
      </w:r>
    </w:p>
    <w:p w14:paraId="77BB6667" w14:textId="77777777" w:rsidR="00AC2930" w:rsidRPr="008D4853" w:rsidRDefault="00AC2930" w:rsidP="00AC293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color w:val="000000"/>
          <w:sz w:val="20"/>
          <w:szCs w:val="20"/>
        </w:rPr>
        <w:t>Caso Clínico:</w:t>
      </w:r>
      <w:r w:rsidRPr="008D4853">
        <w:rPr>
          <w:rFonts w:ascii="Arial" w:hAnsi="Arial" w:cs="Arial"/>
          <w:color w:val="000000"/>
          <w:sz w:val="20"/>
          <w:szCs w:val="20"/>
        </w:rPr>
        <w:t xml:space="preserve"> Doente do sexo feminino, 64 anos, ASA II, com antecedentes de asma e alergia à penicilina, sem anestesias prévias. Submetida a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segmentectomia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hepática por quisto hidático. Anestesia Combinada (Geral Balanceada e Bloqueio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Subaracnoideu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com morfina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intratecal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). Pré-medicada com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clemastina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2mg e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metilprednisolona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125mg. Profilaxia antibiótica com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Clindamicina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900mg e Gentamicina 300mg. Relaxamento neuromuscular (NM) com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rocurónio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, com monitorização usando o </w:t>
      </w:r>
      <w:proofErr w:type="spellStart"/>
      <w:r w:rsidRPr="008D4853">
        <w:rPr>
          <w:rStyle w:val="nfase"/>
          <w:rFonts w:ascii="Arial" w:hAnsi="Arial" w:cs="Arial"/>
          <w:color w:val="000000"/>
          <w:sz w:val="20"/>
          <w:szCs w:val="20"/>
        </w:rPr>
        <w:t>train</w:t>
      </w:r>
      <w:proofErr w:type="spellEnd"/>
      <w:r w:rsidRPr="008D4853">
        <w:rPr>
          <w:rStyle w:val="nfase"/>
          <w:rFonts w:ascii="Arial" w:hAnsi="Arial" w:cs="Arial"/>
          <w:color w:val="000000"/>
          <w:sz w:val="20"/>
          <w:szCs w:val="20"/>
        </w:rPr>
        <w:t>-of-</w:t>
      </w:r>
      <w:proofErr w:type="spellStart"/>
      <w:r w:rsidRPr="008D4853">
        <w:rPr>
          <w:rStyle w:val="nfase"/>
          <w:rFonts w:ascii="Arial" w:hAnsi="Arial" w:cs="Arial"/>
          <w:color w:val="000000"/>
          <w:sz w:val="20"/>
          <w:szCs w:val="20"/>
        </w:rPr>
        <w:t>four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. Monitorização invasiva das pressões arteriais (PA), com PA média entre 75-124 mmHg e frequência cardíaca entre 58-76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bpm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>. De intercorrências cirúrgicas realça-se uma perfuração do diafragma, com sutura direta. </w:t>
      </w:r>
    </w:p>
    <w:p w14:paraId="6B546F9B" w14:textId="77777777" w:rsidR="00AC2930" w:rsidRPr="008D4853" w:rsidRDefault="00AC2930" w:rsidP="00AC293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 xml:space="preserve">Na emergência anestésica foi administrado </w:t>
      </w:r>
      <w:proofErr w:type="spellStart"/>
      <w:r w:rsidRPr="008D4853">
        <w:rPr>
          <w:rStyle w:val="nfase"/>
          <w:rFonts w:ascii="Arial" w:hAnsi="Arial" w:cs="Arial"/>
          <w:color w:val="000000"/>
          <w:sz w:val="20"/>
          <w:szCs w:val="20"/>
        </w:rPr>
        <w:t>Sugammadex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200mg (3mg/kg). Um minuto depois, foi observada hipotensão severa (PA 70/40mmHg), taquicardia (90-100bpm) e aumento das pressões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ventilatórias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Ppico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&gt;40mmHg) com silêncio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auscultatório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, sem alterações cutâneas. Dada a intercorrência, a doente foi posicionada em </w:t>
      </w:r>
      <w:proofErr w:type="spellStart"/>
      <w:r w:rsidRPr="008D4853">
        <w:rPr>
          <w:rStyle w:val="nfase"/>
          <w:rFonts w:ascii="Arial" w:hAnsi="Arial" w:cs="Arial"/>
          <w:color w:val="000000"/>
          <w:sz w:val="20"/>
          <w:szCs w:val="20"/>
        </w:rPr>
        <w:t>Trendelenburg</w:t>
      </w:r>
      <w:proofErr w:type="spellEnd"/>
      <w:r w:rsidRPr="008D4853">
        <w:rPr>
          <w:rStyle w:val="nfase"/>
          <w:rFonts w:ascii="Arial" w:hAnsi="Arial" w:cs="Arial"/>
          <w:color w:val="000000"/>
          <w:sz w:val="20"/>
          <w:szCs w:val="20"/>
        </w:rPr>
        <w:t xml:space="preserve"> </w:t>
      </w:r>
      <w:r w:rsidRPr="008D4853">
        <w:rPr>
          <w:rFonts w:ascii="Arial" w:hAnsi="Arial" w:cs="Arial"/>
          <w:color w:val="000000"/>
          <w:sz w:val="20"/>
          <w:szCs w:val="20"/>
        </w:rPr>
        <w:t xml:space="preserve">e foi realizada ressuscitação com fluidos e administrados um total de 20 mg de efedrina, 400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mcg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de salbutamol e 80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mcg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de brometo de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ipratrópio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>. </w:t>
      </w:r>
    </w:p>
    <w:p w14:paraId="214A869F" w14:textId="77777777" w:rsidR="00AC2930" w:rsidRPr="008D4853" w:rsidRDefault="00AC2930" w:rsidP="00AC293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 xml:space="preserve">Realizado </w:t>
      </w:r>
      <w:proofErr w:type="spellStart"/>
      <w:r w:rsidRPr="008D4853">
        <w:rPr>
          <w:rStyle w:val="nfase"/>
          <w:rFonts w:ascii="Arial" w:hAnsi="Arial" w:cs="Arial"/>
          <w:color w:val="000000"/>
          <w:sz w:val="20"/>
          <w:szCs w:val="20"/>
        </w:rPr>
        <w:t>Point</w:t>
      </w:r>
      <w:proofErr w:type="spellEnd"/>
      <w:r w:rsidRPr="008D4853">
        <w:rPr>
          <w:rStyle w:val="nfase"/>
          <w:rFonts w:ascii="Arial" w:hAnsi="Arial" w:cs="Arial"/>
          <w:color w:val="000000"/>
          <w:sz w:val="20"/>
          <w:szCs w:val="20"/>
        </w:rPr>
        <w:t>-Of-Care-</w:t>
      </w:r>
      <w:proofErr w:type="spellStart"/>
      <w:r w:rsidRPr="008D4853">
        <w:rPr>
          <w:rStyle w:val="nfase"/>
          <w:rFonts w:ascii="Arial" w:hAnsi="Arial" w:cs="Arial"/>
          <w:color w:val="000000"/>
          <w:sz w:val="20"/>
          <w:szCs w:val="20"/>
        </w:rPr>
        <w:t>Ultrassound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(POCUS) com exclusão de pneumotórax ou causas cardíacas óbvias. Constatada reversão do quadro clínico em poucos minutos, com as medidas instituídas. Feita colheita de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triptases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8D4853">
        <w:rPr>
          <w:rFonts w:ascii="Arial" w:hAnsi="Arial" w:cs="Arial"/>
          <w:color w:val="000000"/>
          <w:sz w:val="20"/>
          <w:szCs w:val="20"/>
        </w:rPr>
        <w:t>séricas,(</w:t>
      </w:r>
      <w:proofErr w:type="gramEnd"/>
      <w:r w:rsidRPr="008D4853">
        <w:rPr>
          <w:rFonts w:ascii="Arial" w:hAnsi="Arial" w:cs="Arial"/>
          <w:color w:val="000000"/>
          <w:sz w:val="20"/>
          <w:szCs w:val="20"/>
        </w:rPr>
        <w:t>134ng/ml).</w:t>
      </w:r>
    </w:p>
    <w:p w14:paraId="431B383C" w14:textId="77777777" w:rsidR="00AC2930" w:rsidRPr="008D4853" w:rsidRDefault="00AC2930" w:rsidP="00AC293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 xml:space="preserve">A doente foi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extubada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com sucesso, com pós-operatório em Unidade de Cuidados Intensivos e alta para a enfermaria em dois dias. Referenciada para consulta de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Imunoalergologia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>.</w:t>
      </w:r>
    </w:p>
    <w:p w14:paraId="064931AA" w14:textId="77777777" w:rsidR="00AC2930" w:rsidRPr="008D4853" w:rsidRDefault="00AC2930" w:rsidP="00AC293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color w:val="000000"/>
          <w:sz w:val="20"/>
          <w:szCs w:val="20"/>
        </w:rPr>
        <w:t>Discussão:</w:t>
      </w:r>
      <w:r w:rsidRPr="008D4853">
        <w:rPr>
          <w:rFonts w:ascii="Arial" w:hAnsi="Arial" w:cs="Arial"/>
          <w:color w:val="000000"/>
          <w:sz w:val="20"/>
          <w:szCs w:val="20"/>
        </w:rPr>
        <w:t xml:space="preserve"> O caso descrito corresponde a uma provável anafilaxia ao </w:t>
      </w:r>
      <w:proofErr w:type="spellStart"/>
      <w:r w:rsidRPr="008D4853">
        <w:rPr>
          <w:rStyle w:val="nfase"/>
          <w:rFonts w:ascii="Arial" w:hAnsi="Arial" w:cs="Arial"/>
          <w:color w:val="000000"/>
          <w:sz w:val="20"/>
          <w:szCs w:val="20"/>
        </w:rPr>
        <w:t>Sugammadex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, dada a relação temporal de administração, elevação de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triptases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e ausência de nexo de causalidade com outros fármacos ou eventos.</w:t>
      </w:r>
    </w:p>
    <w:p w14:paraId="4102EE65" w14:textId="77777777" w:rsidR="00AC2930" w:rsidRPr="008D4853" w:rsidRDefault="00AC2930" w:rsidP="00AC293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Foram excluídas outras hipóteses diagnósticas: anafilaxia por manipulação de um quisto hidático; pneumotórax hipertensivo pela perfuração diafragmática iatrogénica; exacerbação de asma com broncoespasmo severo. </w:t>
      </w:r>
    </w:p>
    <w:p w14:paraId="288075E7" w14:textId="77777777" w:rsidR="00AC2930" w:rsidRPr="008D4853" w:rsidRDefault="00AC2930" w:rsidP="00AC293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Este caso demonstra a importância do POCUS na avaliação rápida do doente em choque.</w:t>
      </w:r>
    </w:p>
    <w:p w14:paraId="6337F742" w14:textId="77777777" w:rsidR="00AC2930" w:rsidRPr="008D4853" w:rsidRDefault="00AC2930" w:rsidP="00AC293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Apesar de ser uma reação alérgica grau III verificou-se uma reversão sem administração de adrenalina, algo presente na literatura em cerca de 25% dos casos (2).</w:t>
      </w:r>
    </w:p>
    <w:p w14:paraId="75157EBB" w14:textId="77777777" w:rsidR="00AC2930" w:rsidRPr="008D4853" w:rsidRDefault="00AC2930" w:rsidP="00AC293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Pode haver aumento do número de reações adversas com sobredosagem do fármaco, pelo que se recomenda o uso da dose adequada, consoante a monitorização do bloqueio NM (3).</w:t>
      </w:r>
    </w:p>
    <w:p w14:paraId="54ABD161" w14:textId="77777777" w:rsidR="00AC2930" w:rsidRPr="008D4853" w:rsidRDefault="00AC2930" w:rsidP="00AC293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color w:val="000000"/>
          <w:sz w:val="20"/>
          <w:szCs w:val="20"/>
        </w:rPr>
        <w:t>Conclusão</w:t>
      </w:r>
      <w:r w:rsidRPr="008D4853">
        <w:rPr>
          <w:rFonts w:ascii="Arial" w:hAnsi="Arial" w:cs="Arial"/>
          <w:color w:val="000000"/>
          <w:sz w:val="20"/>
          <w:szCs w:val="20"/>
        </w:rPr>
        <w:t xml:space="preserve">: Apesar de raras, as reações anafiláticas ao </w:t>
      </w:r>
      <w:proofErr w:type="spellStart"/>
      <w:r w:rsidRPr="008D4853">
        <w:rPr>
          <w:rStyle w:val="nfase"/>
          <w:rFonts w:ascii="Arial" w:hAnsi="Arial" w:cs="Arial"/>
          <w:color w:val="000000"/>
          <w:sz w:val="20"/>
          <w:szCs w:val="20"/>
        </w:rPr>
        <w:t>Sugammadex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podem ocorrer, pelo que se aconselha monitorização do bloqueio NM, reversão com a dose correta e </w:t>
      </w:r>
      <w:proofErr w:type="spellStart"/>
      <w:r w:rsidRPr="008D4853">
        <w:rPr>
          <w:rStyle w:val="nfase"/>
          <w:rFonts w:ascii="Arial" w:hAnsi="Arial" w:cs="Arial"/>
          <w:color w:val="000000"/>
          <w:sz w:val="20"/>
          <w:szCs w:val="20"/>
        </w:rPr>
        <w:t>awareness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para esta entidade.</w:t>
      </w:r>
    </w:p>
    <w:p w14:paraId="5E8C6368" w14:textId="77777777" w:rsidR="00AC2930" w:rsidRPr="008D4853" w:rsidRDefault="00AC2930" w:rsidP="00AC293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color w:val="000000"/>
          <w:sz w:val="20"/>
          <w:szCs w:val="20"/>
        </w:rPr>
        <w:t>Referências:</w:t>
      </w:r>
      <w:r w:rsidRPr="008D4853">
        <w:rPr>
          <w:rFonts w:ascii="Arial" w:hAnsi="Arial" w:cs="Arial"/>
          <w:color w:val="000000"/>
          <w:sz w:val="20"/>
          <w:szCs w:val="20"/>
        </w:rPr>
        <w:t>  1. </w:t>
      </w:r>
      <w:proofErr w:type="spellStart"/>
      <w:r w:rsidRPr="008D4853">
        <w:rPr>
          <w:rFonts w:ascii="Arial" w:hAnsi="Arial" w:cs="Arial"/>
          <w:color w:val="333333"/>
          <w:sz w:val="20"/>
          <w:szCs w:val="20"/>
          <w:shd w:val="clear" w:color="auto" w:fill="FFFFFF"/>
        </w:rPr>
        <w:t>Anesth</w:t>
      </w:r>
      <w:proofErr w:type="spellEnd"/>
      <w:r w:rsidRPr="008D485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8D4853">
        <w:rPr>
          <w:rFonts w:ascii="Arial" w:hAnsi="Arial" w:cs="Arial"/>
          <w:color w:val="333333"/>
          <w:sz w:val="20"/>
          <w:szCs w:val="20"/>
          <w:shd w:val="clear" w:color="auto" w:fill="FFFFFF"/>
        </w:rPr>
        <w:t>Pain</w:t>
      </w:r>
      <w:proofErr w:type="spellEnd"/>
      <w:r w:rsidRPr="008D485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Med. 2019;14(3):294-298; 2. </w:t>
      </w:r>
      <w:r w:rsidRPr="008D4853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J </w:t>
      </w:r>
      <w:proofErr w:type="spellStart"/>
      <w:r w:rsidRPr="008D4853">
        <w:rPr>
          <w:rFonts w:ascii="Arial" w:hAnsi="Arial" w:cs="Arial"/>
          <w:color w:val="212121"/>
          <w:sz w:val="20"/>
          <w:szCs w:val="20"/>
          <w:shd w:val="clear" w:color="auto" w:fill="FFFFFF"/>
        </w:rPr>
        <w:t>Anaesthesiol</w:t>
      </w:r>
      <w:proofErr w:type="spellEnd"/>
      <w:r w:rsidRPr="008D4853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8D4853">
        <w:rPr>
          <w:rFonts w:ascii="Arial" w:hAnsi="Arial" w:cs="Arial"/>
          <w:color w:val="212121"/>
          <w:sz w:val="20"/>
          <w:szCs w:val="20"/>
          <w:shd w:val="clear" w:color="auto" w:fill="FFFFFF"/>
        </w:rPr>
        <w:t>Clin</w:t>
      </w:r>
      <w:proofErr w:type="spellEnd"/>
      <w:r w:rsidRPr="008D4853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8D4853">
        <w:rPr>
          <w:rFonts w:ascii="Arial" w:hAnsi="Arial" w:cs="Arial"/>
          <w:color w:val="212121"/>
          <w:sz w:val="20"/>
          <w:szCs w:val="20"/>
          <w:shd w:val="clear" w:color="auto" w:fill="FFFFFF"/>
        </w:rPr>
        <w:t>Pharmacol</w:t>
      </w:r>
      <w:proofErr w:type="spellEnd"/>
      <w:r w:rsidRPr="008D4853">
        <w:rPr>
          <w:rFonts w:ascii="Arial" w:hAnsi="Arial" w:cs="Arial"/>
          <w:color w:val="212121"/>
          <w:sz w:val="20"/>
          <w:szCs w:val="20"/>
          <w:shd w:val="clear" w:color="auto" w:fill="FFFFFF"/>
        </w:rPr>
        <w:t>. 2021 Apr-Jun;37(2):153-159; 3. </w:t>
      </w:r>
      <w:r w:rsidRPr="008D4853">
        <w:rPr>
          <w:rFonts w:ascii="Arial" w:hAnsi="Arial" w:cs="Arial"/>
          <w:color w:val="333333"/>
          <w:sz w:val="20"/>
          <w:szCs w:val="20"/>
          <w:shd w:val="clear" w:color="auto" w:fill="FFFFFF"/>
        </w:rPr>
        <w:t>JARSS 2020;28(4):310-3</w:t>
      </w:r>
    </w:p>
    <w:p w14:paraId="407E3CEF" w14:textId="72E1C90C" w:rsidR="00FC35B8" w:rsidRPr="00035449" w:rsidRDefault="00FC35B8" w:rsidP="004A4738">
      <w:pPr>
        <w:rPr>
          <w:rFonts w:ascii="Arial" w:eastAsia="Times New Roman" w:hAnsi="Arial" w:cs="Arial"/>
          <w:sz w:val="20"/>
          <w:szCs w:val="20"/>
        </w:rPr>
      </w:pPr>
    </w:p>
    <w:sectPr w:rsidR="00FC35B8" w:rsidRPr="000354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26A36"/>
    <w:multiLevelType w:val="multilevel"/>
    <w:tmpl w:val="DD800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01385"/>
    <w:multiLevelType w:val="multilevel"/>
    <w:tmpl w:val="3424D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4F59B7"/>
    <w:multiLevelType w:val="multilevel"/>
    <w:tmpl w:val="0320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663A95"/>
    <w:multiLevelType w:val="multilevel"/>
    <w:tmpl w:val="43C07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510DDA"/>
    <w:multiLevelType w:val="multilevel"/>
    <w:tmpl w:val="3DD6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84165E"/>
    <w:multiLevelType w:val="multilevel"/>
    <w:tmpl w:val="B3E84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4F1402"/>
    <w:multiLevelType w:val="multilevel"/>
    <w:tmpl w:val="9C62C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2E7620"/>
    <w:multiLevelType w:val="multilevel"/>
    <w:tmpl w:val="1688B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504FE3"/>
    <w:multiLevelType w:val="multilevel"/>
    <w:tmpl w:val="F01E2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906F63"/>
    <w:multiLevelType w:val="multilevel"/>
    <w:tmpl w:val="12629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444BA4"/>
    <w:multiLevelType w:val="multilevel"/>
    <w:tmpl w:val="3DB22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8669306">
    <w:abstractNumId w:val="0"/>
  </w:num>
  <w:num w:numId="2" w16cid:durableId="770324313">
    <w:abstractNumId w:val="1"/>
  </w:num>
  <w:num w:numId="3" w16cid:durableId="1787381973">
    <w:abstractNumId w:val="10"/>
  </w:num>
  <w:num w:numId="4" w16cid:durableId="1140810425">
    <w:abstractNumId w:val="8"/>
  </w:num>
  <w:num w:numId="5" w16cid:durableId="1180126137">
    <w:abstractNumId w:val="3"/>
  </w:num>
  <w:num w:numId="6" w16cid:durableId="2018262344">
    <w:abstractNumId w:val="2"/>
  </w:num>
  <w:num w:numId="7" w16cid:durableId="662007213">
    <w:abstractNumId w:val="7"/>
  </w:num>
  <w:num w:numId="8" w16cid:durableId="1755978351">
    <w:abstractNumId w:val="9"/>
  </w:num>
  <w:num w:numId="9" w16cid:durableId="431822853">
    <w:abstractNumId w:val="5"/>
  </w:num>
  <w:num w:numId="10" w16cid:durableId="48500991">
    <w:abstractNumId w:val="4"/>
  </w:num>
  <w:num w:numId="11" w16cid:durableId="8502199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1"/>
    <w:rsid w:val="00035449"/>
    <w:rsid w:val="000D1133"/>
    <w:rsid w:val="001307CB"/>
    <w:rsid w:val="001B6790"/>
    <w:rsid w:val="001C61FC"/>
    <w:rsid w:val="00225892"/>
    <w:rsid w:val="0026086F"/>
    <w:rsid w:val="00273284"/>
    <w:rsid w:val="002938F9"/>
    <w:rsid w:val="002B76FE"/>
    <w:rsid w:val="003E41BB"/>
    <w:rsid w:val="00416AB4"/>
    <w:rsid w:val="004277A8"/>
    <w:rsid w:val="004723E7"/>
    <w:rsid w:val="004A4738"/>
    <w:rsid w:val="0051787D"/>
    <w:rsid w:val="00533E41"/>
    <w:rsid w:val="0061254B"/>
    <w:rsid w:val="00630D4C"/>
    <w:rsid w:val="00640925"/>
    <w:rsid w:val="00670F9D"/>
    <w:rsid w:val="00674711"/>
    <w:rsid w:val="006C4C08"/>
    <w:rsid w:val="007D47C6"/>
    <w:rsid w:val="008008E2"/>
    <w:rsid w:val="00801562"/>
    <w:rsid w:val="00857D77"/>
    <w:rsid w:val="00AC2930"/>
    <w:rsid w:val="00B0235C"/>
    <w:rsid w:val="00B82B6F"/>
    <w:rsid w:val="00B84238"/>
    <w:rsid w:val="00B90F58"/>
    <w:rsid w:val="00BA12BB"/>
    <w:rsid w:val="00BB1DFA"/>
    <w:rsid w:val="00C21AAC"/>
    <w:rsid w:val="00C9470A"/>
    <w:rsid w:val="00C9498A"/>
    <w:rsid w:val="00CA291A"/>
    <w:rsid w:val="00CA641B"/>
    <w:rsid w:val="00DC169D"/>
    <w:rsid w:val="00DC6FAA"/>
    <w:rsid w:val="00E12DEE"/>
    <w:rsid w:val="00E243FA"/>
    <w:rsid w:val="00E95347"/>
    <w:rsid w:val="00EB4799"/>
    <w:rsid w:val="00EC1DCB"/>
    <w:rsid w:val="00ED0C35"/>
    <w:rsid w:val="00ED5DDA"/>
    <w:rsid w:val="00FC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DAB8"/>
  <w15:chartTrackingRefBased/>
  <w15:docId w15:val="{76A79111-DD88-4EC4-9429-17E65B51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711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PT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4711"/>
    <w:pPr>
      <w:spacing w:before="100" w:beforeAutospacing="1" w:after="100" w:afterAutospacing="1"/>
    </w:pPr>
  </w:style>
  <w:style w:type="character" w:styleId="Forte">
    <w:name w:val="Strong"/>
    <w:basedOn w:val="Tipodeletrapredefinidodopargrafo"/>
    <w:uiPriority w:val="22"/>
    <w:qFormat/>
    <w:rsid w:val="00674711"/>
    <w:rPr>
      <w:b/>
      <w:bCs/>
    </w:rPr>
  </w:style>
  <w:style w:type="character" w:styleId="nfase">
    <w:name w:val="Emphasis"/>
    <w:basedOn w:val="Tipodeletrapredefinidodopargrafo"/>
    <w:uiPriority w:val="20"/>
    <w:qFormat/>
    <w:rsid w:val="00674711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C21AAC"/>
    <w:rPr>
      <w:color w:val="0000FF"/>
      <w:u w:val="single"/>
    </w:rPr>
  </w:style>
  <w:style w:type="paragraph" w:customStyle="1" w:styleId="msonormal0">
    <w:name w:val="msonormal"/>
    <w:basedOn w:val="Normal"/>
    <w:rsid w:val="00ED5D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6749F-1EAE-4BAB-A7C1-782B1699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Ferreira</dc:creator>
  <cp:keywords/>
  <dc:description/>
  <cp:lastModifiedBy>Raquel Ferreira</cp:lastModifiedBy>
  <cp:revision>2</cp:revision>
  <dcterms:created xsi:type="dcterms:W3CDTF">2023-03-15T15:18:00Z</dcterms:created>
  <dcterms:modified xsi:type="dcterms:W3CDTF">2023-03-15T15:18:00Z</dcterms:modified>
</cp:coreProperties>
</file>