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FB91E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PO33   Anaphylactic shock after cervical </w:t>
      </w:r>
      <w:proofErr w:type="spellStart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conisation</w:t>
      </w:r>
      <w:proofErr w:type="spellEnd"/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hemostase</w:t>
      </w:r>
      <w:proofErr w:type="spellEnd"/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 with a packing soaked in </w:t>
      </w:r>
      <w:proofErr w:type="spellStart"/>
      <w:r w:rsidRPr="001A343E">
        <w:rPr>
          <w:rStyle w:val="Forte"/>
          <w:rFonts w:ascii="Arial" w:hAnsi="Arial" w:cs="Arial"/>
          <w:sz w:val="20"/>
          <w:szCs w:val="20"/>
          <w:lang w:val="en-US"/>
        </w:rPr>
        <w:t>Monsel´s</w:t>
      </w:r>
      <w:proofErr w:type="spellEnd"/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 solution</w:t>
      </w:r>
    </w:p>
    <w:p w14:paraId="17AD7F0E" w14:textId="77777777" w:rsidR="001570B0" w:rsidRPr="008D4853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Ana Rita Ferreira </w:t>
      </w:r>
      <w:proofErr w:type="gramStart"/>
      <w:r w:rsidRPr="008D4853">
        <w:rPr>
          <w:rStyle w:val="nfase"/>
          <w:rFonts w:ascii="Arial" w:hAnsi="Arial" w:cs="Arial"/>
          <w:sz w:val="20"/>
          <w:szCs w:val="20"/>
        </w:rPr>
        <w:t>Gonçalves(</w:t>
      </w:r>
      <w:proofErr w:type="gramEnd"/>
      <w:r w:rsidRPr="008D4853">
        <w:rPr>
          <w:rStyle w:val="nfase"/>
          <w:rFonts w:ascii="Arial" w:hAnsi="Arial" w:cs="Arial"/>
          <w:sz w:val="20"/>
          <w:szCs w:val="20"/>
        </w:rPr>
        <w:t>1); Luís Pedro(1); Sónia Duarte(1); Teresa Leal(1)</w:t>
      </w:r>
    </w:p>
    <w:p w14:paraId="75EFF6AD" w14:textId="77777777" w:rsidR="001570B0" w:rsidRPr="008D4853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Style w:val="nfase"/>
          <w:rFonts w:ascii="Arial" w:hAnsi="Arial" w:cs="Arial"/>
          <w:sz w:val="20"/>
          <w:szCs w:val="20"/>
        </w:rPr>
        <w:t xml:space="preserve">(1) Centro Hospitalar do Porto, EPE / Hospital Geral de Santo António </w:t>
      </w:r>
    </w:p>
    <w:p w14:paraId="11D74CB4" w14:textId="77777777" w:rsidR="001570B0" w:rsidRPr="008D4853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D4853">
        <w:rPr>
          <w:rFonts w:ascii="Arial" w:hAnsi="Arial" w:cs="Arial"/>
          <w:sz w:val="20"/>
          <w:szCs w:val="20"/>
        </w:rPr>
        <w:t> </w:t>
      </w:r>
    </w:p>
    <w:p w14:paraId="0BA640A1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Background: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Anaphylatic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shock is a truly life-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threatning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medical emergency and its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succefully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approach depends on its early recognition and treatment Patient's history may be crucial in identifying the causative agent.</w:t>
      </w:r>
    </w:p>
    <w:p w14:paraId="040A0C8D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>Case description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: 54-year-old female, ASA III, known allergies to paracetamol, diclofenac and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nimesulide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and a history of nickel’s contact dermatitis, with no reports of complicated anesthesia. She was admitted for cervical conization, and the procedure was successful and uneventful under m</w:t>
      </w:r>
      <w:r w:rsidRPr="001A343E">
        <w:rPr>
          <w:rFonts w:ascii="Arial" w:hAnsi="Arial" w:cs="Arial"/>
          <w:color w:val="202124"/>
          <w:sz w:val="20"/>
          <w:szCs w:val="20"/>
          <w:shd w:val="clear" w:color="auto" w:fill="FFFFFF"/>
          <w:lang w:val="en-US"/>
        </w:rPr>
        <w:t xml:space="preserve">onitored </w:t>
      </w:r>
      <w:proofErr w:type="spellStart"/>
      <w:r w:rsidRPr="001A343E">
        <w:rPr>
          <w:rFonts w:ascii="Arial" w:hAnsi="Arial" w:cs="Arial"/>
          <w:color w:val="202124"/>
          <w:sz w:val="20"/>
          <w:szCs w:val="20"/>
          <w:shd w:val="clear" w:color="auto" w:fill="FFFFFF"/>
          <w:lang w:val="en-US"/>
        </w:rPr>
        <w:t>anaesthesia</w:t>
      </w:r>
      <w:proofErr w:type="spellEnd"/>
      <w:r w:rsidRPr="001A343E">
        <w:rPr>
          <w:rFonts w:ascii="Arial" w:hAnsi="Arial" w:cs="Arial"/>
          <w:color w:val="202124"/>
          <w:sz w:val="20"/>
          <w:szCs w:val="20"/>
          <w:shd w:val="clear" w:color="auto" w:fill="FFFFFF"/>
          <w:lang w:val="en-US"/>
        </w:rPr>
        <w:t xml:space="preserve"> care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 with fentanyl and propofol as well as analgesia with tramadol. During conization, adrenaline was infiltrated in the cervix and hemostasis was performed with packing soaked in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Monsel´s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solution. The immediate postoperative period in the PACU were uneventful and no drugs were administered during this period; the patient was discharged to the ward.</w:t>
      </w:r>
    </w:p>
    <w:p w14:paraId="10902935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3 hours later, she reported progressive dyspnea, with desaturation and maculopapular exanthema. Anesthesia medical emergency was activated.</w:t>
      </w:r>
    </w:p>
    <w:p w14:paraId="0589A1A3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On arrival the patient presented:</w:t>
      </w:r>
    </w:p>
    <w:p w14:paraId="0C0A935B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A – marked oedema of the lips and tongue;</w:t>
      </w:r>
    </w:p>
    <w:p w14:paraId="0CC3B2D3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B - respiratory distress, SpO2 82% (with MAC), vesicular murmur </w:t>
      </w:r>
      <w:proofErr w:type="gramStart"/>
      <w:r w:rsidRPr="001A343E">
        <w:rPr>
          <w:rFonts w:ascii="Arial" w:hAnsi="Arial" w:cs="Arial"/>
          <w:sz w:val="20"/>
          <w:szCs w:val="20"/>
          <w:lang w:val="en-US"/>
        </w:rPr>
        <w:t>audible</w:t>
      </w:r>
      <w:proofErr w:type="gramEnd"/>
      <w:r w:rsidRPr="001A343E">
        <w:rPr>
          <w:rFonts w:ascii="Arial" w:hAnsi="Arial" w:cs="Arial"/>
          <w:sz w:val="20"/>
          <w:szCs w:val="20"/>
          <w:lang w:val="en-US"/>
        </w:rPr>
        <w:t xml:space="preserve"> but diminished in all fields, without bronchospasm;</w:t>
      </w:r>
    </w:p>
    <w:p w14:paraId="4AAFF4EF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C – BP:60/40mmHg; increased capillary refill time (4-5seg);</w:t>
      </w:r>
    </w:p>
    <w:p w14:paraId="5B545C13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D – GCS 14;</w:t>
      </w:r>
    </w:p>
    <w:p w14:paraId="4E5D2A48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>E - generalized maculopapular exanthema and oedema of the eyelids.</w:t>
      </w:r>
    </w:p>
    <w:p w14:paraId="672BDCC7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Anaphylactic shock was immediately diagnosed without identified causative agent. 0.5mg adrenaline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im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, 200mg hydrocortisone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ev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, 2mg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clemastine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ev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and profuse fluid therapy were administered. There was initial slight improvement followed by subsequent worsening. Additional administration of 0.5mg adrenaline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im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and 125mg methylprednisolone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ev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provided similar results. </w:t>
      </w:r>
    </w:p>
    <w:p w14:paraId="18C1A938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Considering that no new drugs were administered in the ward, the emergency team and the attending gynecologist assumed an association between nickel allergy and the chemical composition of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Monsel's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solute, remained for hemostasis after the surgery. Thus, it was decided to remove the packing soaked in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Monsel´s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solute from the vaginal cavity and washed it with saline solution. After the removal the packing with solution and further administration of 0.5mg adrenaline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im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>, there was progressive improvement of the blood pressure and SpO2. Tryptases collected 1h latter were increased (23,9ug/L, N &lt;11,4ug/L).</w:t>
      </w:r>
    </w:p>
    <w:p w14:paraId="58858489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Fonts w:ascii="Arial" w:hAnsi="Arial" w:cs="Arial"/>
          <w:sz w:val="20"/>
          <w:szCs w:val="20"/>
          <w:lang w:val="en-US"/>
        </w:rPr>
        <w:t xml:space="preserve">The patient was transported to the ICU for surveillance, from which she was discharged 2 days, with scheduled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immunoallergology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consultation, that is waiting.</w:t>
      </w:r>
    </w:p>
    <w:p w14:paraId="153A68A5" w14:textId="77777777" w:rsidR="001570B0" w:rsidRPr="001A343E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  <w:lang w:val="en-US"/>
        </w:rPr>
      </w:pPr>
      <w:r w:rsidRPr="001A343E">
        <w:rPr>
          <w:rStyle w:val="Forte"/>
          <w:rFonts w:ascii="Arial" w:hAnsi="Arial" w:cs="Arial"/>
          <w:sz w:val="20"/>
          <w:szCs w:val="20"/>
          <w:lang w:val="en-US"/>
        </w:rPr>
        <w:t xml:space="preserve">Discussion: </w:t>
      </w:r>
      <w:r w:rsidRPr="001A343E">
        <w:rPr>
          <w:rFonts w:ascii="Arial" w:hAnsi="Arial" w:cs="Arial"/>
          <w:sz w:val="20"/>
          <w:szCs w:val="20"/>
          <w:lang w:val="en-US"/>
        </w:rPr>
        <w:t xml:space="preserve">The identification of the causative agent represents a key point in the resolution of the anaphylactic shock. When specific materials are used, like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Monsel´s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solution, discussion among professionals is critical for the correct interpretation and resolution of the case. It is important to keep in mind that topical agents might be the cause. </w:t>
      </w:r>
      <w:proofErr w:type="spellStart"/>
      <w:r w:rsidRPr="001A343E">
        <w:rPr>
          <w:rFonts w:ascii="Arial" w:hAnsi="Arial" w:cs="Arial"/>
          <w:sz w:val="20"/>
          <w:szCs w:val="20"/>
          <w:lang w:val="en-US"/>
        </w:rPr>
        <w:t>Monsel´s</w:t>
      </w:r>
      <w:proofErr w:type="spellEnd"/>
      <w:r w:rsidRPr="001A343E">
        <w:rPr>
          <w:rFonts w:ascii="Arial" w:hAnsi="Arial" w:cs="Arial"/>
          <w:sz w:val="20"/>
          <w:szCs w:val="20"/>
          <w:lang w:val="en-US"/>
        </w:rPr>
        <w:t xml:space="preserve"> solution is a topic hemostatic agent, based on ferrous sulfate, which can be applied directly to the surgical site after excision of the lesion.</w:t>
      </w:r>
    </w:p>
    <w:p w14:paraId="7CCD327E" w14:textId="77777777" w:rsidR="001570B0" w:rsidRPr="008D4853" w:rsidRDefault="001570B0" w:rsidP="001570B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Learning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 xml:space="preserve"> </w:t>
      </w:r>
      <w:proofErr w:type="spellStart"/>
      <w:r w:rsidRPr="008D4853">
        <w:rPr>
          <w:rStyle w:val="Forte"/>
          <w:rFonts w:ascii="Arial" w:hAnsi="Arial" w:cs="Arial"/>
          <w:sz w:val="20"/>
          <w:szCs w:val="20"/>
        </w:rPr>
        <w:t>Points</w:t>
      </w:r>
      <w:proofErr w:type="spellEnd"/>
      <w:r w:rsidRPr="008D4853">
        <w:rPr>
          <w:rStyle w:val="Forte"/>
          <w:rFonts w:ascii="Arial" w:hAnsi="Arial" w:cs="Arial"/>
          <w:sz w:val="20"/>
          <w:szCs w:val="20"/>
        </w:rPr>
        <w:t xml:space="preserve">: </w:t>
      </w:r>
    </w:p>
    <w:p w14:paraId="67170096" w14:textId="77777777" w:rsidR="001570B0" w:rsidRPr="001A343E" w:rsidRDefault="001570B0" w:rsidP="001570B0">
      <w:pPr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t>approach to the patient with anaphylactic shock;</w:t>
      </w:r>
    </w:p>
    <w:p w14:paraId="787E5B39" w14:textId="77777777" w:rsidR="001570B0" w:rsidRPr="001A343E" w:rsidRDefault="001570B0" w:rsidP="001570B0">
      <w:pPr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t>importance of peer discussion for the correct diagnosis and treatment of the patient;</w:t>
      </w:r>
    </w:p>
    <w:p w14:paraId="227E86A8" w14:textId="77777777" w:rsidR="001570B0" w:rsidRPr="001A343E" w:rsidRDefault="001570B0" w:rsidP="001570B0">
      <w:pPr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t>importance of clinical history in diagnosing the causal agent of anaphylaxis;</w:t>
      </w:r>
    </w:p>
    <w:p w14:paraId="6B0092B3" w14:textId="77777777" w:rsidR="001570B0" w:rsidRPr="001A343E" w:rsidRDefault="001570B0" w:rsidP="001570B0">
      <w:pPr>
        <w:numPr>
          <w:ilvl w:val="0"/>
          <w:numId w:val="12"/>
        </w:numPr>
        <w:rPr>
          <w:rFonts w:ascii="Arial" w:eastAsia="Times New Roman" w:hAnsi="Arial" w:cs="Arial"/>
          <w:sz w:val="20"/>
          <w:szCs w:val="20"/>
          <w:lang w:val="en-US"/>
        </w:rPr>
      </w:pPr>
      <w:r w:rsidRPr="001A343E">
        <w:rPr>
          <w:rFonts w:ascii="Arial" w:eastAsia="Times New Roman" w:hAnsi="Arial" w:cs="Arial"/>
          <w:sz w:val="20"/>
          <w:szCs w:val="20"/>
          <w:lang w:val="en-US"/>
        </w:rPr>
        <w:t>importance of monitoring patients in the postoperative period and after the administration of any drug.</w:t>
      </w:r>
    </w:p>
    <w:p w14:paraId="407E3CEF" w14:textId="6764773E" w:rsidR="00FC35B8" w:rsidRPr="001570B0" w:rsidRDefault="00FC35B8" w:rsidP="005F6218">
      <w:pPr>
        <w:rPr>
          <w:rFonts w:ascii="Arial" w:eastAsia="Times New Roman" w:hAnsi="Arial" w:cs="Arial"/>
          <w:sz w:val="20"/>
          <w:szCs w:val="20"/>
          <w:lang w:val="en-US"/>
        </w:rPr>
      </w:pPr>
    </w:p>
    <w:sectPr w:rsidR="00FC35B8" w:rsidRPr="001570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6A36"/>
    <w:multiLevelType w:val="multilevel"/>
    <w:tmpl w:val="DD80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01385"/>
    <w:multiLevelType w:val="multilevel"/>
    <w:tmpl w:val="3424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4F59B7"/>
    <w:multiLevelType w:val="multilevel"/>
    <w:tmpl w:val="0320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663A95"/>
    <w:multiLevelType w:val="multilevel"/>
    <w:tmpl w:val="43C07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10DDA"/>
    <w:multiLevelType w:val="multilevel"/>
    <w:tmpl w:val="3DD6A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84165E"/>
    <w:multiLevelType w:val="multilevel"/>
    <w:tmpl w:val="B3E8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6545C6"/>
    <w:multiLevelType w:val="multilevel"/>
    <w:tmpl w:val="057A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4F1402"/>
    <w:multiLevelType w:val="multilevel"/>
    <w:tmpl w:val="9C62C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2E7620"/>
    <w:multiLevelType w:val="multilevel"/>
    <w:tmpl w:val="1688B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504FE3"/>
    <w:multiLevelType w:val="multilevel"/>
    <w:tmpl w:val="F01E2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906F63"/>
    <w:multiLevelType w:val="multilevel"/>
    <w:tmpl w:val="1262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444BA4"/>
    <w:multiLevelType w:val="multilevel"/>
    <w:tmpl w:val="3DB22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48669306">
    <w:abstractNumId w:val="0"/>
  </w:num>
  <w:num w:numId="2" w16cid:durableId="770324313">
    <w:abstractNumId w:val="1"/>
  </w:num>
  <w:num w:numId="3" w16cid:durableId="1787381973">
    <w:abstractNumId w:val="11"/>
  </w:num>
  <w:num w:numId="4" w16cid:durableId="1140810425">
    <w:abstractNumId w:val="9"/>
  </w:num>
  <w:num w:numId="5" w16cid:durableId="1180126137">
    <w:abstractNumId w:val="3"/>
  </w:num>
  <w:num w:numId="6" w16cid:durableId="2018262344">
    <w:abstractNumId w:val="2"/>
  </w:num>
  <w:num w:numId="7" w16cid:durableId="662007213">
    <w:abstractNumId w:val="8"/>
  </w:num>
  <w:num w:numId="8" w16cid:durableId="1755978351">
    <w:abstractNumId w:val="10"/>
  </w:num>
  <w:num w:numId="9" w16cid:durableId="431822853">
    <w:abstractNumId w:val="5"/>
  </w:num>
  <w:num w:numId="10" w16cid:durableId="48500991">
    <w:abstractNumId w:val="4"/>
  </w:num>
  <w:num w:numId="11" w16cid:durableId="850219951">
    <w:abstractNumId w:val="7"/>
  </w:num>
  <w:num w:numId="12" w16cid:durableId="19139267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11"/>
    <w:rsid w:val="00035449"/>
    <w:rsid w:val="000D1133"/>
    <w:rsid w:val="001307CB"/>
    <w:rsid w:val="001570B0"/>
    <w:rsid w:val="001B6790"/>
    <w:rsid w:val="001C61FC"/>
    <w:rsid w:val="00225892"/>
    <w:rsid w:val="0026086F"/>
    <w:rsid w:val="00273284"/>
    <w:rsid w:val="002938F9"/>
    <w:rsid w:val="002B76FE"/>
    <w:rsid w:val="003E41BB"/>
    <w:rsid w:val="00416AB4"/>
    <w:rsid w:val="004277A8"/>
    <w:rsid w:val="004723E7"/>
    <w:rsid w:val="004A4738"/>
    <w:rsid w:val="0051787D"/>
    <w:rsid w:val="00533E41"/>
    <w:rsid w:val="005F6218"/>
    <w:rsid w:val="0061254B"/>
    <w:rsid w:val="00630D4C"/>
    <w:rsid w:val="00640925"/>
    <w:rsid w:val="00670F9D"/>
    <w:rsid w:val="00674711"/>
    <w:rsid w:val="006C4C08"/>
    <w:rsid w:val="007B4A70"/>
    <w:rsid w:val="007D47C6"/>
    <w:rsid w:val="008008E2"/>
    <w:rsid w:val="00801562"/>
    <w:rsid w:val="00857D77"/>
    <w:rsid w:val="00AC2930"/>
    <w:rsid w:val="00B0235C"/>
    <w:rsid w:val="00B82B6F"/>
    <w:rsid w:val="00B84238"/>
    <w:rsid w:val="00B90F58"/>
    <w:rsid w:val="00BA12BB"/>
    <w:rsid w:val="00BB1DFA"/>
    <w:rsid w:val="00C21AAC"/>
    <w:rsid w:val="00C9470A"/>
    <w:rsid w:val="00C9498A"/>
    <w:rsid w:val="00CA291A"/>
    <w:rsid w:val="00CA641B"/>
    <w:rsid w:val="00DC169D"/>
    <w:rsid w:val="00DC6FAA"/>
    <w:rsid w:val="00E12DEE"/>
    <w:rsid w:val="00E243FA"/>
    <w:rsid w:val="00E95347"/>
    <w:rsid w:val="00EB4799"/>
    <w:rsid w:val="00EC1DCB"/>
    <w:rsid w:val="00ED0C35"/>
    <w:rsid w:val="00ED5DDA"/>
    <w:rsid w:val="00FC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7DAB8"/>
  <w15:chartTrackingRefBased/>
  <w15:docId w15:val="{76A79111-DD88-4EC4-9429-17E65B51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711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pt-PT"/>
      <w14:ligatures w14:val="non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4711"/>
    <w:pPr>
      <w:spacing w:before="100" w:beforeAutospacing="1" w:after="100" w:afterAutospacing="1"/>
    </w:pPr>
  </w:style>
  <w:style w:type="character" w:styleId="Forte">
    <w:name w:val="Strong"/>
    <w:basedOn w:val="Tipodeletrapredefinidodopargrafo"/>
    <w:uiPriority w:val="22"/>
    <w:qFormat/>
    <w:rsid w:val="00674711"/>
    <w:rPr>
      <w:b/>
      <w:bCs/>
    </w:rPr>
  </w:style>
  <w:style w:type="character" w:styleId="nfase">
    <w:name w:val="Emphasis"/>
    <w:basedOn w:val="Tipodeletrapredefinidodopargrafo"/>
    <w:uiPriority w:val="20"/>
    <w:qFormat/>
    <w:rsid w:val="00674711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C21AAC"/>
    <w:rPr>
      <w:color w:val="0000FF"/>
      <w:u w:val="single"/>
    </w:rPr>
  </w:style>
  <w:style w:type="paragraph" w:customStyle="1" w:styleId="msonormal0">
    <w:name w:val="msonormal"/>
    <w:basedOn w:val="Normal"/>
    <w:rsid w:val="00ED5DD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6749F-1EAE-4BAB-A7C1-782B1699A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Ferreira</dc:creator>
  <cp:keywords/>
  <dc:description/>
  <cp:lastModifiedBy>Raquel Ferreira</cp:lastModifiedBy>
  <cp:revision>2</cp:revision>
  <dcterms:created xsi:type="dcterms:W3CDTF">2023-03-15T15:19:00Z</dcterms:created>
  <dcterms:modified xsi:type="dcterms:W3CDTF">2023-03-15T15:19:00Z</dcterms:modified>
</cp:coreProperties>
</file>