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B91E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 xml:space="preserve">PO33   Anaphylactic shock after cervical </w:t>
      </w:r>
      <w:proofErr w:type="spellStart"/>
      <w:r w:rsidRPr="001A343E">
        <w:rPr>
          <w:rStyle w:val="Forte"/>
          <w:rFonts w:ascii="Arial" w:hAnsi="Arial" w:cs="Arial"/>
          <w:sz w:val="20"/>
          <w:szCs w:val="20"/>
          <w:lang w:val="en-US"/>
        </w:rPr>
        <w:t>conisation</w:t>
      </w:r>
      <w:proofErr w:type="spellEnd"/>
      <w:r w:rsidRPr="001A343E">
        <w:rPr>
          <w:rStyle w:val="Forte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343E">
        <w:rPr>
          <w:rStyle w:val="Forte"/>
          <w:rFonts w:ascii="Arial" w:hAnsi="Arial" w:cs="Arial"/>
          <w:sz w:val="20"/>
          <w:szCs w:val="20"/>
          <w:lang w:val="en-US"/>
        </w:rPr>
        <w:t>hemostase</w:t>
      </w:r>
      <w:proofErr w:type="spellEnd"/>
      <w:r w:rsidRPr="001A343E">
        <w:rPr>
          <w:rStyle w:val="Forte"/>
          <w:rFonts w:ascii="Arial" w:hAnsi="Arial" w:cs="Arial"/>
          <w:sz w:val="20"/>
          <w:szCs w:val="20"/>
          <w:lang w:val="en-US"/>
        </w:rPr>
        <w:t xml:space="preserve"> with a packing soaked in </w:t>
      </w:r>
      <w:proofErr w:type="spellStart"/>
      <w:r w:rsidRPr="001A343E">
        <w:rPr>
          <w:rStyle w:val="Forte"/>
          <w:rFonts w:ascii="Arial" w:hAnsi="Arial" w:cs="Arial"/>
          <w:sz w:val="20"/>
          <w:szCs w:val="20"/>
          <w:lang w:val="en-US"/>
        </w:rPr>
        <w:t>Monsel´s</w:t>
      </w:r>
      <w:proofErr w:type="spellEnd"/>
      <w:r w:rsidRPr="001A343E">
        <w:rPr>
          <w:rStyle w:val="Forte"/>
          <w:rFonts w:ascii="Arial" w:hAnsi="Arial" w:cs="Arial"/>
          <w:sz w:val="20"/>
          <w:szCs w:val="20"/>
          <w:lang w:val="en-US"/>
        </w:rPr>
        <w:t xml:space="preserve"> solution</w:t>
      </w:r>
    </w:p>
    <w:p w14:paraId="17AD7F0E" w14:textId="77777777" w:rsidR="001570B0" w:rsidRPr="008D4853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Ana Rita Ferreira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Gonçalves(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Luís Pedro(1); Sónia Duarte(1); Teresa Leal(1)</w:t>
      </w:r>
    </w:p>
    <w:p w14:paraId="75EFF6AD" w14:textId="77777777" w:rsidR="001570B0" w:rsidRPr="008D4853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do Porto, EPE / Hospital Geral de Santo António </w:t>
      </w:r>
    </w:p>
    <w:p w14:paraId="11D74CB4" w14:textId="77777777" w:rsidR="001570B0" w:rsidRPr="008D4853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0BA640A1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>Background:</w:t>
      </w:r>
      <w:r w:rsidRPr="001A34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Anaphylatic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shock is a truly life-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threatning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medical emergency and its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succefully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approach depends on its early recognition and treatment Patient's history may be crucial in identifying the causative agent.</w:t>
      </w:r>
    </w:p>
    <w:p w14:paraId="040A0C8D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>Case description</w:t>
      </w:r>
      <w:r w:rsidRPr="001A343E">
        <w:rPr>
          <w:rFonts w:ascii="Arial" w:hAnsi="Arial" w:cs="Arial"/>
          <w:sz w:val="20"/>
          <w:szCs w:val="20"/>
          <w:lang w:val="en-US"/>
        </w:rPr>
        <w:t xml:space="preserve">: 54-year-old female, ASA III, known allergies to paracetamol, diclofenac and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nimesulide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and a history of nickel’s contact dermatitis, with no reports of complicated anesthesia. She was admitted for cervical conization, and the procedure was successful and uneventful under m</w:t>
      </w:r>
      <w:r w:rsidRPr="001A343E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 xml:space="preserve">onitored </w:t>
      </w:r>
      <w:proofErr w:type="spellStart"/>
      <w:r w:rsidRPr="001A343E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>anaesthesia</w:t>
      </w:r>
      <w:proofErr w:type="spellEnd"/>
      <w:r w:rsidRPr="001A343E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 xml:space="preserve"> care</w:t>
      </w:r>
      <w:r w:rsidRPr="001A343E">
        <w:rPr>
          <w:rFonts w:ascii="Arial" w:hAnsi="Arial" w:cs="Arial"/>
          <w:sz w:val="20"/>
          <w:szCs w:val="20"/>
          <w:lang w:val="en-US"/>
        </w:rPr>
        <w:t xml:space="preserve"> with fentanyl and propofol as well as analgesia with tramadol. During conization, adrenaline was infiltrated in the cervix and hemostasis was performed with packing soaked in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Monsel´s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solution. The immediate postoperative period in the PACU were uneventful and no drugs were administered during this period; the patient was discharged to the ward.</w:t>
      </w:r>
    </w:p>
    <w:p w14:paraId="10902935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3 hours later, she reported progressive dyspnea, with desaturation and maculopapular exanthema. Anesthesia medical emergency was activated.</w:t>
      </w:r>
    </w:p>
    <w:p w14:paraId="0589A1A3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On arrival the patient presented:</w:t>
      </w:r>
    </w:p>
    <w:p w14:paraId="0C0A935B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A – marked oedema of the lips and tongue;</w:t>
      </w:r>
    </w:p>
    <w:p w14:paraId="0CC3B2D3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B - respiratory distress, SpO2 82% (with MAC), vesicular murmur </w:t>
      </w:r>
      <w:proofErr w:type="gramStart"/>
      <w:r w:rsidRPr="001A343E">
        <w:rPr>
          <w:rFonts w:ascii="Arial" w:hAnsi="Arial" w:cs="Arial"/>
          <w:sz w:val="20"/>
          <w:szCs w:val="20"/>
          <w:lang w:val="en-US"/>
        </w:rPr>
        <w:t>audible</w:t>
      </w:r>
      <w:proofErr w:type="gramEnd"/>
      <w:r w:rsidRPr="001A343E">
        <w:rPr>
          <w:rFonts w:ascii="Arial" w:hAnsi="Arial" w:cs="Arial"/>
          <w:sz w:val="20"/>
          <w:szCs w:val="20"/>
          <w:lang w:val="en-US"/>
        </w:rPr>
        <w:t xml:space="preserve"> but diminished in all fields, without bronchospasm;</w:t>
      </w:r>
    </w:p>
    <w:p w14:paraId="4AAFF4EF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C – BP:60/40mmHg; increased capillary refill time (4-5seg);</w:t>
      </w:r>
    </w:p>
    <w:p w14:paraId="5B545C13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D – GCS 14;</w:t>
      </w:r>
    </w:p>
    <w:p w14:paraId="4E5D2A48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E - generalized maculopapular exanthema and oedema of the eyelids.</w:t>
      </w:r>
    </w:p>
    <w:p w14:paraId="672BDCC7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Anaphylactic shock was immediately diagnosed without identified causative agent. 0.5mg adrenaline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im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, 200mg hydrocortisone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ev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, 2mg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clemastine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ev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and profuse fluid therapy were administered. There was initial slight improvement followed by subsequent worsening. Additional administration of 0.5mg adrenaline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im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and 125mg methylprednisolone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ev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provided similar results. </w:t>
      </w:r>
    </w:p>
    <w:p w14:paraId="18C1A938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Considering that no new drugs were administered in the ward, the emergency team and the attending gynecologist assumed an association between nickel allergy and the chemical composition of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Monsel's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solute, remained for hemostasis after the surgery. Thus, it was decided to remove the packing soaked in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Monsel´s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solute from the vaginal cavity and washed it with saline solution. After the removal the packing with solution and further administration of 0.5mg adrenaline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im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>, there was progressive improvement of the blood pressure and SpO2. Tryptases collected 1h latter were increased (23,9ug/L, N &lt;11,4ug/L).</w:t>
      </w:r>
    </w:p>
    <w:p w14:paraId="58858489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The patient was transported to the ICU for surveillance, from which she was discharged 2 days, with scheduled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immunoallergology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consultation, that is waiting.</w:t>
      </w:r>
    </w:p>
    <w:p w14:paraId="153A68A5" w14:textId="77777777" w:rsidR="001570B0" w:rsidRPr="001A343E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 xml:space="preserve">Discussion: </w:t>
      </w:r>
      <w:r w:rsidRPr="001A343E">
        <w:rPr>
          <w:rFonts w:ascii="Arial" w:hAnsi="Arial" w:cs="Arial"/>
          <w:sz w:val="20"/>
          <w:szCs w:val="20"/>
          <w:lang w:val="en-US"/>
        </w:rPr>
        <w:t xml:space="preserve">The identification of the causative agent represents a key point in the resolution of the anaphylactic shock. When specific materials are used, like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Monsel´s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solution, discussion among professionals is critical for the correct interpretation and resolution of the case. It is important to keep in mind that topical agents might be the cause.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Monsel´s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solution is a topic hemostatic agent, based on ferrous sulfate, which can be applied directly to the surgical site after excision of the lesion.</w:t>
      </w:r>
    </w:p>
    <w:p w14:paraId="7CCD327E" w14:textId="77777777" w:rsidR="001570B0" w:rsidRPr="008D4853" w:rsidRDefault="001570B0" w:rsidP="001570B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8D4853">
        <w:rPr>
          <w:rStyle w:val="Forte"/>
          <w:rFonts w:ascii="Arial" w:hAnsi="Arial" w:cs="Arial"/>
          <w:sz w:val="20"/>
          <w:szCs w:val="20"/>
        </w:rPr>
        <w:t>Learning</w:t>
      </w:r>
      <w:proofErr w:type="spellEnd"/>
      <w:r w:rsidRPr="008D4853">
        <w:rPr>
          <w:rStyle w:val="Forte"/>
          <w:rFonts w:ascii="Arial" w:hAnsi="Arial" w:cs="Arial"/>
          <w:sz w:val="20"/>
          <w:szCs w:val="20"/>
        </w:rPr>
        <w:t xml:space="preserve"> </w:t>
      </w:r>
      <w:proofErr w:type="spellStart"/>
      <w:r w:rsidRPr="008D4853">
        <w:rPr>
          <w:rStyle w:val="Forte"/>
          <w:rFonts w:ascii="Arial" w:hAnsi="Arial" w:cs="Arial"/>
          <w:sz w:val="20"/>
          <w:szCs w:val="20"/>
        </w:rPr>
        <w:t>Points</w:t>
      </w:r>
      <w:proofErr w:type="spellEnd"/>
      <w:r w:rsidRPr="008D4853">
        <w:rPr>
          <w:rStyle w:val="Forte"/>
          <w:rFonts w:ascii="Arial" w:hAnsi="Arial" w:cs="Arial"/>
          <w:sz w:val="20"/>
          <w:szCs w:val="20"/>
        </w:rPr>
        <w:t xml:space="preserve">: </w:t>
      </w:r>
    </w:p>
    <w:p w14:paraId="67170096" w14:textId="77777777" w:rsidR="001570B0" w:rsidRPr="001A343E" w:rsidRDefault="001570B0" w:rsidP="001570B0">
      <w:pPr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1A343E">
        <w:rPr>
          <w:rFonts w:ascii="Arial" w:eastAsia="Times New Roman" w:hAnsi="Arial" w:cs="Arial"/>
          <w:sz w:val="20"/>
          <w:szCs w:val="20"/>
          <w:lang w:val="en-US"/>
        </w:rPr>
        <w:t>approach to the patient with anaphylactic shock;</w:t>
      </w:r>
    </w:p>
    <w:p w14:paraId="787E5B39" w14:textId="77777777" w:rsidR="001570B0" w:rsidRPr="001A343E" w:rsidRDefault="001570B0" w:rsidP="001570B0">
      <w:pPr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1A343E">
        <w:rPr>
          <w:rFonts w:ascii="Arial" w:eastAsia="Times New Roman" w:hAnsi="Arial" w:cs="Arial"/>
          <w:sz w:val="20"/>
          <w:szCs w:val="20"/>
          <w:lang w:val="en-US"/>
        </w:rPr>
        <w:t>importance of peer discussion for the correct diagnosis and treatment of the patient;</w:t>
      </w:r>
    </w:p>
    <w:p w14:paraId="227E86A8" w14:textId="77777777" w:rsidR="001570B0" w:rsidRPr="001A343E" w:rsidRDefault="001570B0" w:rsidP="001570B0">
      <w:pPr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1A343E">
        <w:rPr>
          <w:rFonts w:ascii="Arial" w:eastAsia="Times New Roman" w:hAnsi="Arial" w:cs="Arial"/>
          <w:sz w:val="20"/>
          <w:szCs w:val="20"/>
          <w:lang w:val="en-US"/>
        </w:rPr>
        <w:t>importance of clinical history in diagnosing the causal agent of anaphylaxis;</w:t>
      </w:r>
    </w:p>
    <w:p w14:paraId="6B0092B3" w14:textId="77777777" w:rsidR="001570B0" w:rsidRPr="001A343E" w:rsidRDefault="001570B0" w:rsidP="001570B0">
      <w:pPr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1A343E">
        <w:rPr>
          <w:rFonts w:ascii="Arial" w:eastAsia="Times New Roman" w:hAnsi="Arial" w:cs="Arial"/>
          <w:sz w:val="20"/>
          <w:szCs w:val="20"/>
          <w:lang w:val="en-US"/>
        </w:rPr>
        <w:t>importance of monitoring patients in the postoperative period and after the administration of any drug.</w:t>
      </w:r>
    </w:p>
    <w:p w14:paraId="407E3CEF" w14:textId="6764773E" w:rsidR="00FC35B8" w:rsidRPr="001570B0" w:rsidRDefault="00FC35B8" w:rsidP="005F6218">
      <w:pPr>
        <w:rPr>
          <w:rFonts w:ascii="Arial" w:eastAsia="Times New Roman" w:hAnsi="Arial" w:cs="Arial"/>
          <w:sz w:val="20"/>
          <w:szCs w:val="20"/>
          <w:lang w:val="en-US"/>
        </w:rPr>
      </w:pPr>
    </w:p>
    <w:sectPr w:rsidR="00FC35B8" w:rsidRPr="0015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10DDA"/>
    <w:multiLevelType w:val="multilevel"/>
    <w:tmpl w:val="3DD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6545C6"/>
    <w:multiLevelType w:val="multilevel"/>
    <w:tmpl w:val="057A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F1402"/>
    <w:multiLevelType w:val="multilevel"/>
    <w:tmpl w:val="9C62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11"/>
  </w:num>
  <w:num w:numId="4" w16cid:durableId="1140810425">
    <w:abstractNumId w:val="9"/>
  </w:num>
  <w:num w:numId="5" w16cid:durableId="1180126137">
    <w:abstractNumId w:val="3"/>
  </w:num>
  <w:num w:numId="6" w16cid:durableId="2018262344">
    <w:abstractNumId w:val="2"/>
  </w:num>
  <w:num w:numId="7" w16cid:durableId="662007213">
    <w:abstractNumId w:val="8"/>
  </w:num>
  <w:num w:numId="8" w16cid:durableId="1755978351">
    <w:abstractNumId w:val="10"/>
  </w:num>
  <w:num w:numId="9" w16cid:durableId="431822853">
    <w:abstractNumId w:val="5"/>
  </w:num>
  <w:num w:numId="10" w16cid:durableId="48500991">
    <w:abstractNumId w:val="4"/>
  </w:num>
  <w:num w:numId="11" w16cid:durableId="850219951">
    <w:abstractNumId w:val="7"/>
  </w:num>
  <w:num w:numId="12" w16cid:durableId="1913926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35449"/>
    <w:rsid w:val="000D1133"/>
    <w:rsid w:val="001307CB"/>
    <w:rsid w:val="001570B0"/>
    <w:rsid w:val="001B6790"/>
    <w:rsid w:val="001C61FC"/>
    <w:rsid w:val="00225892"/>
    <w:rsid w:val="0026086F"/>
    <w:rsid w:val="00273284"/>
    <w:rsid w:val="002938F9"/>
    <w:rsid w:val="002B76FE"/>
    <w:rsid w:val="003E41BB"/>
    <w:rsid w:val="00416AB4"/>
    <w:rsid w:val="004277A8"/>
    <w:rsid w:val="004723E7"/>
    <w:rsid w:val="004A4738"/>
    <w:rsid w:val="0051787D"/>
    <w:rsid w:val="00533E41"/>
    <w:rsid w:val="005F6218"/>
    <w:rsid w:val="0061254B"/>
    <w:rsid w:val="00630D4C"/>
    <w:rsid w:val="00640925"/>
    <w:rsid w:val="00670F9D"/>
    <w:rsid w:val="00674711"/>
    <w:rsid w:val="006C4C08"/>
    <w:rsid w:val="007B4A70"/>
    <w:rsid w:val="007D47C6"/>
    <w:rsid w:val="008008E2"/>
    <w:rsid w:val="00801562"/>
    <w:rsid w:val="00857D77"/>
    <w:rsid w:val="00AC2930"/>
    <w:rsid w:val="00B0235C"/>
    <w:rsid w:val="00B82B6F"/>
    <w:rsid w:val="00B84238"/>
    <w:rsid w:val="00B90F58"/>
    <w:rsid w:val="00BA12BB"/>
    <w:rsid w:val="00BB1DFA"/>
    <w:rsid w:val="00C21AAC"/>
    <w:rsid w:val="00C9470A"/>
    <w:rsid w:val="00C9498A"/>
    <w:rsid w:val="00CA291A"/>
    <w:rsid w:val="00CA641B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2023-03-15T15:19:00Z</dcterms:created>
  <dcterms:modified xsi:type="dcterms:W3CDTF">2023-03-15T15:19:00Z</dcterms:modified>
</cp:coreProperties>
</file>