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581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Forte"/>
          <w:rFonts w:ascii="Arial" w:hAnsi="Arial" w:cs="Arial"/>
          <w:sz w:val="20"/>
          <w:szCs w:val="20"/>
        </w:rPr>
        <w:t>PO</w:t>
      </w:r>
      <w:r w:rsidRPr="008D4853">
        <w:rPr>
          <w:rStyle w:val="Forte"/>
          <w:rFonts w:ascii="Arial" w:hAnsi="Arial" w:cs="Arial"/>
          <w:sz w:val="20"/>
          <w:szCs w:val="20"/>
        </w:rPr>
        <w:t>35   O CORAÇÃO DOS HOMENS TAMBÉM PARTE</w:t>
      </w:r>
    </w:p>
    <w:p w14:paraId="32B8CC5C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Ana Teresa </w:t>
      </w:r>
      <w:proofErr w:type="gramStart"/>
      <w:r w:rsidRPr="008D4853">
        <w:rPr>
          <w:rStyle w:val="nfase"/>
          <w:rFonts w:ascii="Arial" w:hAnsi="Arial" w:cs="Arial"/>
          <w:sz w:val="20"/>
          <w:szCs w:val="20"/>
        </w:rPr>
        <w:t>Cruz(</w:t>
      </w:r>
      <w:proofErr w:type="gramEnd"/>
      <w:r w:rsidRPr="008D4853">
        <w:rPr>
          <w:rStyle w:val="nfase"/>
          <w:rFonts w:ascii="Arial" w:hAnsi="Arial" w:cs="Arial"/>
          <w:sz w:val="20"/>
          <w:szCs w:val="20"/>
        </w:rPr>
        <w:t xml:space="preserve">1); Sofia Freitas(1); Linda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Cheung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>(1); Joana Pedreira(1)</w:t>
      </w:r>
    </w:p>
    <w:p w14:paraId="7684C10E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Style w:val="nfase"/>
          <w:rFonts w:ascii="Arial" w:hAnsi="Arial" w:cs="Arial"/>
          <w:sz w:val="20"/>
          <w:szCs w:val="20"/>
        </w:rPr>
        <w:t xml:space="preserve">(1) Hospital de Braga </w:t>
      </w:r>
    </w:p>
    <w:p w14:paraId="5DEF3BE8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3DDA1D01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  <w:u w:val="single"/>
        </w:rPr>
        <w:t>Introdução</w:t>
      </w:r>
      <w:r w:rsidRPr="008D4853">
        <w:rPr>
          <w:rFonts w:ascii="Arial" w:hAnsi="Arial" w:cs="Arial"/>
          <w:sz w:val="20"/>
          <w:szCs w:val="20"/>
        </w:rPr>
        <w:t xml:space="preserve">: </w:t>
      </w:r>
    </w:p>
    <w:p w14:paraId="73979483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A síndrome de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Takotsubo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(STT) é uma cardiomiopatia rara caraterizada por disfunção ventricular reversível que pode ser desencadeada por doença aguda, stress físico ou emocional intenso. Existe evidência clínica crescente que associa a ocorrência de STT nos doentes com patologia respiratória. (1, 2)</w:t>
      </w:r>
    </w:p>
    <w:p w14:paraId="19296E09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  <w:u w:val="single"/>
        </w:rPr>
        <w:t>Caso Clínico</w:t>
      </w:r>
      <w:r w:rsidRPr="008D4853">
        <w:rPr>
          <w:rFonts w:ascii="Arial" w:hAnsi="Arial" w:cs="Arial"/>
          <w:sz w:val="20"/>
          <w:szCs w:val="20"/>
        </w:rPr>
        <w:t xml:space="preserve">: </w:t>
      </w:r>
    </w:p>
    <w:p w14:paraId="656F2044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Masculino, 49 anos, ASA III, antecedentes de deficiência de alfa-1-antitripsina, enfisema pulmonar, bronquiectasias e </w:t>
      </w:r>
      <w:proofErr w:type="spellStart"/>
      <w:r w:rsidRPr="008D4853">
        <w:rPr>
          <w:rFonts w:ascii="Arial" w:hAnsi="Arial" w:cs="Arial"/>
          <w:sz w:val="20"/>
          <w:szCs w:val="20"/>
        </w:rPr>
        <w:t>traqueobroncomalácia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proposto para correção de eventração </w:t>
      </w:r>
      <w:proofErr w:type="spellStart"/>
      <w:r w:rsidRPr="008D4853">
        <w:rPr>
          <w:rFonts w:ascii="Arial" w:hAnsi="Arial" w:cs="Arial"/>
          <w:sz w:val="20"/>
          <w:szCs w:val="20"/>
        </w:rPr>
        <w:t>supraumbilical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cerca de 20 cm. Estudo pré-operatório</w:t>
      </w:r>
      <w:r w:rsidRPr="008D4853">
        <w:rPr>
          <w:rStyle w:val="nfase"/>
          <w:rFonts w:ascii="Arial" w:hAnsi="Arial" w:cs="Arial"/>
          <w:sz w:val="20"/>
          <w:szCs w:val="20"/>
        </w:rPr>
        <w:t xml:space="preserve"> </w:t>
      </w:r>
      <w:r w:rsidRPr="008D4853">
        <w:rPr>
          <w:rFonts w:ascii="Arial" w:hAnsi="Arial" w:cs="Arial"/>
          <w:sz w:val="20"/>
          <w:szCs w:val="20"/>
        </w:rPr>
        <w:t xml:space="preserve">sem alterações. Ecocardiograma </w:t>
      </w:r>
      <w:proofErr w:type="spellStart"/>
      <w:r w:rsidRPr="008D4853">
        <w:rPr>
          <w:rFonts w:ascii="Arial" w:hAnsi="Arial" w:cs="Arial"/>
          <w:sz w:val="20"/>
          <w:szCs w:val="20"/>
        </w:rPr>
        <w:t>transtorácico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(TT), prova de esforço e </w:t>
      </w:r>
      <w:proofErr w:type="spellStart"/>
      <w:r w:rsidRPr="008D4853">
        <w:rPr>
          <w:rStyle w:val="nfase"/>
          <w:rFonts w:ascii="Arial" w:hAnsi="Arial" w:cs="Arial"/>
          <w:sz w:val="20"/>
          <w:szCs w:val="20"/>
        </w:rPr>
        <w:t>holter</w:t>
      </w:r>
      <w:proofErr w:type="spellEnd"/>
      <w:r w:rsidRPr="008D4853">
        <w:rPr>
          <w:rStyle w:val="nfase"/>
          <w:rFonts w:ascii="Arial" w:hAnsi="Arial" w:cs="Arial"/>
          <w:sz w:val="20"/>
          <w:szCs w:val="20"/>
        </w:rPr>
        <w:t xml:space="preserve"> </w:t>
      </w:r>
      <w:r w:rsidRPr="008D4853">
        <w:rPr>
          <w:rFonts w:ascii="Arial" w:hAnsi="Arial" w:cs="Arial"/>
          <w:sz w:val="20"/>
          <w:szCs w:val="20"/>
        </w:rPr>
        <w:t>de 2021 sem alterações.</w:t>
      </w:r>
    </w:p>
    <w:p w14:paraId="7335B81A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Submetido a bloqueio epidural torácico, T11-12, com 75 mg de </w:t>
      </w:r>
      <w:proofErr w:type="spellStart"/>
      <w:r w:rsidRPr="008D4853">
        <w:rPr>
          <w:rFonts w:ascii="Arial" w:hAnsi="Arial" w:cs="Arial"/>
          <w:sz w:val="20"/>
          <w:szCs w:val="20"/>
        </w:rPr>
        <w:t>ropivacaína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 0,75% e 10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8D4853">
        <w:rPr>
          <w:rFonts w:ascii="Arial" w:hAnsi="Arial" w:cs="Arial"/>
          <w:sz w:val="20"/>
          <w:szCs w:val="20"/>
        </w:rPr>
        <w:t>sufentanilo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. Durante a cirurgia, manteve-se </w:t>
      </w:r>
      <w:proofErr w:type="spellStart"/>
      <w:r w:rsidRPr="008D4853">
        <w:rPr>
          <w:rFonts w:ascii="Arial" w:hAnsi="Arial" w:cs="Arial"/>
          <w:sz w:val="20"/>
          <w:szCs w:val="20"/>
        </w:rPr>
        <w:t>hemodinamicamente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estável e o procedimento decorreu sem intercorrências. </w:t>
      </w:r>
    </w:p>
    <w:p w14:paraId="6EE4B0C2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Na Unidade de Cuidados Pós-Anestésicos (UCPA), 20 minutos após administração de 12 mg de </w:t>
      </w:r>
      <w:proofErr w:type="spellStart"/>
      <w:r w:rsidRPr="008D4853">
        <w:rPr>
          <w:rFonts w:ascii="Arial" w:hAnsi="Arial" w:cs="Arial"/>
          <w:sz w:val="20"/>
          <w:szCs w:val="20"/>
        </w:rPr>
        <w:t>ropivacaína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 0,2% pelo cateter epidural, o doente desenvolveu um episódio de síncope, com bradicardia extrema seguida de assistolia. A circulação espontânea foi recuperada após dois ciclos de suporte avançado de vida, com abordagem básica da via aérea.</w:t>
      </w:r>
    </w:p>
    <w:p w14:paraId="565DF14B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No período pós-paragem cardiorrespiratória (PCR) imediato, o doente apresentava-se consciente, </w:t>
      </w:r>
      <w:proofErr w:type="spellStart"/>
      <w:r w:rsidRPr="008D4853">
        <w:rPr>
          <w:rFonts w:ascii="Arial" w:hAnsi="Arial" w:cs="Arial"/>
          <w:sz w:val="20"/>
          <w:szCs w:val="20"/>
        </w:rPr>
        <w:t>taquicárdico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hipotenso, com necessidade de </w:t>
      </w:r>
      <w:proofErr w:type="spellStart"/>
      <w:r w:rsidRPr="008D4853">
        <w:rPr>
          <w:rFonts w:ascii="Arial" w:hAnsi="Arial" w:cs="Arial"/>
          <w:sz w:val="20"/>
          <w:szCs w:val="20"/>
        </w:rPr>
        <w:t>fenilefrina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(30 </w:t>
      </w:r>
      <w:proofErr w:type="spellStart"/>
      <w:r w:rsidRPr="008D4853">
        <w:rPr>
          <w:rFonts w:ascii="Arial" w:hAnsi="Arial" w:cs="Arial"/>
          <w:sz w:val="20"/>
          <w:szCs w:val="20"/>
        </w:rPr>
        <w:t>mcg</w:t>
      </w:r>
      <w:proofErr w:type="spellEnd"/>
      <w:r w:rsidRPr="008D4853">
        <w:rPr>
          <w:rFonts w:ascii="Arial" w:hAnsi="Arial" w:cs="Arial"/>
          <w:sz w:val="20"/>
          <w:szCs w:val="20"/>
        </w:rPr>
        <w:t>/min) em perfusão periférica. Exame neurológico sumário sem alterações.</w:t>
      </w:r>
    </w:p>
    <w:p w14:paraId="6CFEBCF5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gramStart"/>
      <w:r w:rsidRPr="008D4853">
        <w:rPr>
          <w:rFonts w:ascii="Arial" w:hAnsi="Arial" w:cs="Arial"/>
          <w:sz w:val="20"/>
          <w:szCs w:val="20"/>
        </w:rPr>
        <w:t>O eletrocardiograma</w:t>
      </w:r>
      <w:proofErr w:type="gramEnd"/>
      <w:r w:rsidRPr="008D4853">
        <w:rPr>
          <w:rFonts w:ascii="Arial" w:hAnsi="Arial" w:cs="Arial"/>
          <w:sz w:val="20"/>
          <w:szCs w:val="20"/>
        </w:rPr>
        <w:t xml:space="preserve"> de 12 derivações, os marcadores de necrose </w:t>
      </w:r>
      <w:proofErr w:type="spellStart"/>
      <w:r w:rsidRPr="008D4853">
        <w:rPr>
          <w:rFonts w:ascii="Arial" w:hAnsi="Arial" w:cs="Arial"/>
          <w:sz w:val="20"/>
          <w:szCs w:val="20"/>
        </w:rPr>
        <w:t>miocárdica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a </w:t>
      </w:r>
      <w:proofErr w:type="spellStart"/>
      <w:r w:rsidRPr="008D4853">
        <w:rPr>
          <w:rFonts w:ascii="Arial" w:hAnsi="Arial" w:cs="Arial"/>
          <w:sz w:val="20"/>
          <w:szCs w:val="20"/>
        </w:rPr>
        <w:t>gasimetria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arterial estavam normais; o ecocardiograma TT revelou </w:t>
      </w:r>
      <w:proofErr w:type="spellStart"/>
      <w:r w:rsidRPr="008D4853">
        <w:rPr>
          <w:rFonts w:ascii="Arial" w:hAnsi="Arial" w:cs="Arial"/>
          <w:sz w:val="20"/>
          <w:szCs w:val="20"/>
        </w:rPr>
        <w:t>hipocinésia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marcada de todos os segmentos médios do ventrículo esquerdo, depressão moderada da função global do ventrículo esquerdo; e a </w:t>
      </w:r>
      <w:proofErr w:type="spellStart"/>
      <w:r w:rsidRPr="008D4853">
        <w:rPr>
          <w:rFonts w:ascii="Arial" w:hAnsi="Arial" w:cs="Arial"/>
          <w:sz w:val="20"/>
          <w:szCs w:val="20"/>
        </w:rPr>
        <w:t>angio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-TAC pulmonar mostrou </w:t>
      </w:r>
      <w:proofErr w:type="spellStart"/>
      <w:r w:rsidRPr="008D4853">
        <w:rPr>
          <w:rFonts w:ascii="Arial" w:hAnsi="Arial" w:cs="Arial"/>
          <w:sz w:val="20"/>
          <w:szCs w:val="20"/>
        </w:rPr>
        <w:t>tromboembolismo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pulmonar (TEP) periférico de cronicidade desconhecida.  </w:t>
      </w:r>
    </w:p>
    <w:p w14:paraId="03A406BB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O doente manteve-se em vigilância clínica na unidade de cuidados intermédios durante 4 dias, repetiu ecocardiograma TT ao 10º dia, com recuperação completa da função sistólica, o que corrobora o diagnóstico de STT. Restante internamento sem intercorrências. Alta para o domicílio medicado com </w:t>
      </w:r>
      <w:proofErr w:type="spellStart"/>
      <w:r w:rsidRPr="008D4853">
        <w:rPr>
          <w:rFonts w:ascii="Arial" w:hAnsi="Arial" w:cs="Arial"/>
          <w:sz w:val="20"/>
          <w:szCs w:val="20"/>
        </w:rPr>
        <w:t>ramipril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4853">
        <w:rPr>
          <w:rFonts w:ascii="Arial" w:hAnsi="Arial" w:cs="Arial"/>
          <w:sz w:val="20"/>
          <w:szCs w:val="20"/>
        </w:rPr>
        <w:t>bisoprolol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D4853">
        <w:rPr>
          <w:rFonts w:ascii="Arial" w:hAnsi="Arial" w:cs="Arial"/>
          <w:sz w:val="20"/>
          <w:szCs w:val="20"/>
        </w:rPr>
        <w:t>edoxabano</w:t>
      </w:r>
      <w:proofErr w:type="spellEnd"/>
      <w:r w:rsidRPr="008D4853">
        <w:rPr>
          <w:rFonts w:ascii="Arial" w:hAnsi="Arial" w:cs="Arial"/>
          <w:sz w:val="20"/>
          <w:szCs w:val="20"/>
        </w:rPr>
        <w:t>.</w:t>
      </w:r>
    </w:p>
    <w:p w14:paraId="46A2F3FF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  <w:u w:val="single"/>
        </w:rPr>
        <w:t xml:space="preserve">Discussão: </w:t>
      </w:r>
    </w:p>
    <w:p w14:paraId="74776316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232140F3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O foco do nosso caso clínico é alertar que, no período </w:t>
      </w:r>
      <w:proofErr w:type="spellStart"/>
      <w:r w:rsidRPr="008D4853">
        <w:rPr>
          <w:rFonts w:ascii="Arial" w:hAnsi="Arial" w:cs="Arial"/>
          <w:sz w:val="20"/>
          <w:szCs w:val="20"/>
        </w:rPr>
        <w:t>perioperatório</w:t>
      </w:r>
      <w:proofErr w:type="spellEnd"/>
      <w:r w:rsidRPr="008D4853">
        <w:rPr>
          <w:rFonts w:ascii="Arial" w:hAnsi="Arial" w:cs="Arial"/>
          <w:sz w:val="20"/>
          <w:szCs w:val="20"/>
        </w:rPr>
        <w:t xml:space="preserve">, a função cardíaca pode ser gravemente afetada pela presença de patologia respiratória crónica ou aguda e pelo estímulo físico e emocional associada à </w:t>
      </w:r>
      <w:proofErr w:type="gramStart"/>
      <w:r w:rsidRPr="008D4853">
        <w:rPr>
          <w:rFonts w:ascii="Arial" w:hAnsi="Arial" w:cs="Arial"/>
          <w:sz w:val="20"/>
          <w:szCs w:val="20"/>
        </w:rPr>
        <w:t>cirurgia.(</w:t>
      </w:r>
      <w:proofErr w:type="gramEnd"/>
      <w:r w:rsidRPr="008D4853">
        <w:rPr>
          <w:rFonts w:ascii="Arial" w:hAnsi="Arial" w:cs="Arial"/>
          <w:sz w:val="20"/>
          <w:szCs w:val="20"/>
        </w:rPr>
        <w:t>3)</w:t>
      </w:r>
    </w:p>
    <w:p w14:paraId="4DC56ACA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Além disso, o reconhecimento das diferentes apresentações clínicas da STT assim como os respetivos achados imagiológicos tornam-se fulcrais na abordagem adequada a curto e a longo prazo dos doentes com STT. </w:t>
      </w:r>
    </w:p>
    <w:p w14:paraId="299EB049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 xml:space="preserve">Por fim, apesar do prognóstico ser favorável na maioria dos casos, e de haver uma rápida recuperação ventricular, é importante ressalvar que o risco de mortalidade é semelhante ao enfarte agudo do miocárdio e a taxa de recorrência da STT é 2% por ano. Neste contexto, os inibidores da enzima de conversão da angiotensina são os fármacos com maior impacto na redução da recorrência da </w:t>
      </w:r>
      <w:proofErr w:type="gramStart"/>
      <w:r w:rsidRPr="008D4853">
        <w:rPr>
          <w:rFonts w:ascii="Arial" w:hAnsi="Arial" w:cs="Arial"/>
          <w:sz w:val="20"/>
          <w:szCs w:val="20"/>
        </w:rPr>
        <w:t>STT.(</w:t>
      </w:r>
      <w:proofErr w:type="gramEnd"/>
      <w:r w:rsidRPr="008D4853">
        <w:rPr>
          <w:rFonts w:ascii="Arial" w:hAnsi="Arial" w:cs="Arial"/>
          <w:sz w:val="20"/>
          <w:szCs w:val="20"/>
        </w:rPr>
        <w:t>1-3)</w:t>
      </w:r>
    </w:p>
    <w:p w14:paraId="47DD9F62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8D4853">
        <w:rPr>
          <w:rFonts w:ascii="Arial" w:hAnsi="Arial" w:cs="Arial"/>
          <w:sz w:val="20"/>
          <w:szCs w:val="20"/>
        </w:rPr>
        <w:t> </w:t>
      </w:r>
    </w:p>
    <w:p w14:paraId="1C385BA7" w14:textId="77777777" w:rsidR="00A13F42" w:rsidRPr="001A343E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A13F42">
        <w:rPr>
          <w:rFonts w:ascii="Arial" w:hAnsi="Arial" w:cs="Arial"/>
          <w:sz w:val="20"/>
          <w:szCs w:val="20"/>
        </w:rPr>
        <w:t xml:space="preserve">1.           Revista </w:t>
      </w:r>
      <w:proofErr w:type="spellStart"/>
      <w:r w:rsidRPr="00A13F42">
        <w:rPr>
          <w:rFonts w:ascii="Arial" w:hAnsi="Arial" w:cs="Arial"/>
          <w:sz w:val="20"/>
          <w:szCs w:val="20"/>
        </w:rPr>
        <w:t>Española</w:t>
      </w:r>
      <w:proofErr w:type="spellEnd"/>
      <w:r w:rsidRPr="00A13F42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A13F42">
        <w:rPr>
          <w:rFonts w:ascii="Arial" w:hAnsi="Arial" w:cs="Arial"/>
          <w:sz w:val="20"/>
          <w:szCs w:val="20"/>
        </w:rPr>
        <w:t>Cardiología</w:t>
      </w:r>
      <w:proofErr w:type="spellEnd"/>
      <w:r w:rsidRPr="00A13F4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13F42">
        <w:rPr>
          <w:rFonts w:ascii="Arial" w:hAnsi="Arial" w:cs="Arial"/>
          <w:sz w:val="20"/>
          <w:szCs w:val="20"/>
        </w:rPr>
        <w:t>English</w:t>
      </w:r>
      <w:proofErr w:type="spellEnd"/>
      <w:r w:rsidRPr="00A13F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13F42">
        <w:rPr>
          <w:rFonts w:ascii="Arial" w:hAnsi="Arial" w:cs="Arial"/>
          <w:sz w:val="20"/>
          <w:szCs w:val="20"/>
        </w:rPr>
        <w:t>Edition</w:t>
      </w:r>
      <w:proofErr w:type="spellEnd"/>
      <w:r w:rsidRPr="00A13F42">
        <w:rPr>
          <w:rFonts w:ascii="Arial" w:hAnsi="Arial" w:cs="Arial"/>
          <w:sz w:val="20"/>
          <w:szCs w:val="20"/>
        </w:rPr>
        <w:t xml:space="preserve">). </w:t>
      </w:r>
      <w:r w:rsidRPr="001A343E">
        <w:rPr>
          <w:rFonts w:ascii="Arial" w:hAnsi="Arial" w:cs="Arial"/>
          <w:sz w:val="20"/>
          <w:szCs w:val="20"/>
          <w:lang w:val="en-US"/>
        </w:rPr>
        <w:t>2018;71(9):695-6.</w:t>
      </w:r>
    </w:p>
    <w:p w14:paraId="3920E278" w14:textId="77777777" w:rsidR="00A13F42" w:rsidRPr="001A343E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1A343E">
        <w:rPr>
          <w:rFonts w:ascii="Arial" w:hAnsi="Arial" w:cs="Arial"/>
          <w:sz w:val="20"/>
          <w:szCs w:val="20"/>
          <w:lang w:val="en-US"/>
        </w:rPr>
        <w:t>2.           European Heart Journal Open. 2022;2(2).</w:t>
      </w:r>
    </w:p>
    <w:p w14:paraId="3D9CF667" w14:textId="77777777" w:rsidR="00A13F42" w:rsidRPr="008D4853" w:rsidRDefault="00A13F42" w:rsidP="00A13F42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1A343E">
        <w:rPr>
          <w:rFonts w:ascii="Arial" w:hAnsi="Arial" w:cs="Arial"/>
          <w:sz w:val="20"/>
          <w:szCs w:val="20"/>
          <w:lang w:val="en-US"/>
        </w:rPr>
        <w:t xml:space="preserve">3.           </w:t>
      </w:r>
      <w:r w:rsidRPr="00A13F42">
        <w:rPr>
          <w:rFonts w:ascii="Arial" w:hAnsi="Arial" w:cs="Arial"/>
          <w:sz w:val="20"/>
          <w:szCs w:val="20"/>
          <w:lang w:val="en-US"/>
        </w:rPr>
        <w:t xml:space="preserve">Ann Card </w:t>
      </w:r>
      <w:proofErr w:type="spellStart"/>
      <w:r w:rsidRPr="00A13F42">
        <w:rPr>
          <w:rFonts w:ascii="Arial" w:hAnsi="Arial" w:cs="Arial"/>
          <w:sz w:val="20"/>
          <w:szCs w:val="20"/>
          <w:lang w:val="en-US"/>
        </w:rPr>
        <w:t>Anaesth</w:t>
      </w:r>
      <w:proofErr w:type="spellEnd"/>
      <w:r w:rsidRPr="00A13F42">
        <w:rPr>
          <w:rFonts w:ascii="Arial" w:hAnsi="Arial" w:cs="Arial"/>
          <w:sz w:val="20"/>
          <w:szCs w:val="20"/>
          <w:lang w:val="en-US"/>
        </w:rPr>
        <w:t xml:space="preserve">. </w:t>
      </w:r>
      <w:r w:rsidRPr="008D4853">
        <w:rPr>
          <w:rFonts w:ascii="Arial" w:hAnsi="Arial" w:cs="Arial"/>
          <w:sz w:val="20"/>
          <w:szCs w:val="20"/>
        </w:rPr>
        <w:t>2019;22(3):309-15.</w:t>
      </w:r>
    </w:p>
    <w:p w14:paraId="49A59AF8" w14:textId="77777777" w:rsidR="00A13F42" w:rsidRDefault="00A13F42" w:rsidP="00A13F42">
      <w:pPr>
        <w:rPr>
          <w:rFonts w:ascii="Arial" w:eastAsia="Times New Roman" w:hAnsi="Arial" w:cs="Arial"/>
          <w:sz w:val="20"/>
          <w:szCs w:val="20"/>
        </w:rPr>
      </w:pPr>
      <w:r w:rsidRPr="008D4853">
        <w:rPr>
          <w:rFonts w:ascii="Arial" w:eastAsia="Times New Roman" w:hAnsi="Arial" w:cs="Arial"/>
          <w:sz w:val="20"/>
          <w:szCs w:val="20"/>
        </w:rPr>
        <w:br/>
      </w:r>
      <w:r w:rsidRPr="008D4853">
        <w:rPr>
          <w:rFonts w:ascii="Arial" w:eastAsia="Times New Roman" w:hAnsi="Arial" w:cs="Arial"/>
          <w:sz w:val="20"/>
          <w:szCs w:val="20"/>
        </w:rPr>
        <w:br/>
      </w:r>
      <w:hyperlink r:id="rId6" w:history="1">
        <w:r w:rsidRPr="008D4853">
          <w:rPr>
            <w:rStyle w:val="Hiperligao"/>
            <w:rFonts w:ascii="Arial" w:eastAsia="Times New Roman" w:hAnsi="Arial" w:cs="Arial"/>
            <w:sz w:val="20"/>
            <w:szCs w:val="20"/>
          </w:rPr>
          <w:t>figuras.pdf</w:t>
        </w:r>
      </w:hyperlink>
    </w:p>
    <w:p w14:paraId="7136F5DB" w14:textId="77777777" w:rsidR="00A13F42" w:rsidRDefault="00A13F42" w:rsidP="00A13F42">
      <w:pPr>
        <w:rPr>
          <w:rFonts w:ascii="Arial" w:eastAsia="Times New Roman" w:hAnsi="Arial" w:cs="Arial"/>
          <w:sz w:val="20"/>
          <w:szCs w:val="20"/>
        </w:rPr>
      </w:pPr>
    </w:p>
    <w:p w14:paraId="6482C3A0" w14:textId="77777777" w:rsidR="00A13F42" w:rsidRPr="008D4853" w:rsidRDefault="00A13F42" w:rsidP="00A13F42">
      <w:pPr>
        <w:rPr>
          <w:rFonts w:ascii="Arial" w:eastAsia="Times New Roman" w:hAnsi="Arial" w:cs="Arial"/>
          <w:sz w:val="40"/>
          <w:szCs w:val="40"/>
        </w:rPr>
      </w:pPr>
      <w:r w:rsidRPr="008D4853">
        <w:rPr>
          <w:rFonts w:ascii="Arial" w:eastAsia="Times New Roman" w:hAnsi="Arial" w:cs="Arial"/>
          <w:color w:val="FF0000"/>
          <w:sz w:val="40"/>
          <w:szCs w:val="40"/>
          <w:highlight w:val="yellow"/>
        </w:rPr>
        <w:t>Nota para André Baptista: Não usar figura pois não temos consentimento</w:t>
      </w:r>
    </w:p>
    <w:p w14:paraId="407E3CEF" w14:textId="37E79C42" w:rsidR="00FC35B8" w:rsidRPr="00991A4E" w:rsidRDefault="00FC35B8" w:rsidP="00991A4E">
      <w:pPr>
        <w:rPr>
          <w:rFonts w:ascii="Arial" w:eastAsia="Times New Roman" w:hAnsi="Arial" w:cs="Arial"/>
          <w:sz w:val="20"/>
          <w:szCs w:val="20"/>
        </w:rPr>
      </w:pPr>
    </w:p>
    <w:sectPr w:rsidR="00FC35B8" w:rsidRPr="00991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A36"/>
    <w:multiLevelType w:val="multilevel"/>
    <w:tmpl w:val="DD800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01385"/>
    <w:multiLevelType w:val="multilevel"/>
    <w:tmpl w:val="3424D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26C21"/>
    <w:multiLevelType w:val="multilevel"/>
    <w:tmpl w:val="D35C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4F59B7"/>
    <w:multiLevelType w:val="multilevel"/>
    <w:tmpl w:val="032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63A95"/>
    <w:multiLevelType w:val="multilevel"/>
    <w:tmpl w:val="43C0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510DDA"/>
    <w:multiLevelType w:val="multilevel"/>
    <w:tmpl w:val="3DD6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84165E"/>
    <w:multiLevelType w:val="multilevel"/>
    <w:tmpl w:val="B3E8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6545C6"/>
    <w:multiLevelType w:val="multilevel"/>
    <w:tmpl w:val="057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4F1402"/>
    <w:multiLevelType w:val="multilevel"/>
    <w:tmpl w:val="9C62C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2E7620"/>
    <w:multiLevelType w:val="multilevel"/>
    <w:tmpl w:val="1688B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504FE3"/>
    <w:multiLevelType w:val="multilevel"/>
    <w:tmpl w:val="F01E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906F63"/>
    <w:multiLevelType w:val="multilevel"/>
    <w:tmpl w:val="12629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444BA4"/>
    <w:multiLevelType w:val="multilevel"/>
    <w:tmpl w:val="3DB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8669306">
    <w:abstractNumId w:val="0"/>
  </w:num>
  <w:num w:numId="2" w16cid:durableId="770324313">
    <w:abstractNumId w:val="1"/>
  </w:num>
  <w:num w:numId="3" w16cid:durableId="1787381973">
    <w:abstractNumId w:val="12"/>
  </w:num>
  <w:num w:numId="4" w16cid:durableId="1140810425">
    <w:abstractNumId w:val="10"/>
  </w:num>
  <w:num w:numId="5" w16cid:durableId="1180126137">
    <w:abstractNumId w:val="4"/>
  </w:num>
  <w:num w:numId="6" w16cid:durableId="2018262344">
    <w:abstractNumId w:val="3"/>
  </w:num>
  <w:num w:numId="7" w16cid:durableId="662007213">
    <w:abstractNumId w:val="9"/>
  </w:num>
  <w:num w:numId="8" w16cid:durableId="1755978351">
    <w:abstractNumId w:val="11"/>
  </w:num>
  <w:num w:numId="9" w16cid:durableId="431822853">
    <w:abstractNumId w:val="6"/>
  </w:num>
  <w:num w:numId="10" w16cid:durableId="48500991">
    <w:abstractNumId w:val="5"/>
  </w:num>
  <w:num w:numId="11" w16cid:durableId="850219951">
    <w:abstractNumId w:val="8"/>
  </w:num>
  <w:num w:numId="12" w16cid:durableId="1913926732">
    <w:abstractNumId w:val="7"/>
  </w:num>
  <w:num w:numId="13" w16cid:durableId="1456021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11"/>
    <w:rsid w:val="00035449"/>
    <w:rsid w:val="000D1133"/>
    <w:rsid w:val="001307CB"/>
    <w:rsid w:val="001570B0"/>
    <w:rsid w:val="001B6790"/>
    <w:rsid w:val="001C61FC"/>
    <w:rsid w:val="00225892"/>
    <w:rsid w:val="0026086F"/>
    <w:rsid w:val="00273284"/>
    <w:rsid w:val="002938F9"/>
    <w:rsid w:val="002B76FE"/>
    <w:rsid w:val="003E41BB"/>
    <w:rsid w:val="00416AB4"/>
    <w:rsid w:val="004277A8"/>
    <w:rsid w:val="00464E40"/>
    <w:rsid w:val="004723E7"/>
    <w:rsid w:val="004A4738"/>
    <w:rsid w:val="0051787D"/>
    <w:rsid w:val="00533E41"/>
    <w:rsid w:val="005F6218"/>
    <w:rsid w:val="0061254B"/>
    <w:rsid w:val="00630D4C"/>
    <w:rsid w:val="00640925"/>
    <w:rsid w:val="00670F9D"/>
    <w:rsid w:val="00674711"/>
    <w:rsid w:val="006C4C08"/>
    <w:rsid w:val="007B4A70"/>
    <w:rsid w:val="007D47C6"/>
    <w:rsid w:val="008008E2"/>
    <w:rsid w:val="00801562"/>
    <w:rsid w:val="00857D77"/>
    <w:rsid w:val="00991A4E"/>
    <w:rsid w:val="00A13F42"/>
    <w:rsid w:val="00AC2930"/>
    <w:rsid w:val="00B0235C"/>
    <w:rsid w:val="00B82B6F"/>
    <w:rsid w:val="00B84238"/>
    <w:rsid w:val="00B90F58"/>
    <w:rsid w:val="00BA12BB"/>
    <w:rsid w:val="00BB1DFA"/>
    <w:rsid w:val="00C21AAC"/>
    <w:rsid w:val="00C9470A"/>
    <w:rsid w:val="00C9498A"/>
    <w:rsid w:val="00CA291A"/>
    <w:rsid w:val="00CA641B"/>
    <w:rsid w:val="00DC169D"/>
    <w:rsid w:val="00DC6FAA"/>
    <w:rsid w:val="00E12DEE"/>
    <w:rsid w:val="00E243FA"/>
    <w:rsid w:val="00E95347"/>
    <w:rsid w:val="00EB4799"/>
    <w:rsid w:val="00EC1DCB"/>
    <w:rsid w:val="00ED0C35"/>
    <w:rsid w:val="00ED5DDA"/>
    <w:rsid w:val="00FA7C63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DAB8"/>
  <w15:chartTrackingRefBased/>
  <w15:docId w15:val="{76A79111-DD88-4EC4-9429-17E65B51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711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t-PT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711"/>
    <w:pPr>
      <w:spacing w:before="100" w:beforeAutospacing="1" w:after="100" w:afterAutospacing="1"/>
    </w:pPr>
  </w:style>
  <w:style w:type="character" w:styleId="Forte">
    <w:name w:val="Strong"/>
    <w:basedOn w:val="Tipodeletrapredefinidodopargrafo"/>
    <w:uiPriority w:val="22"/>
    <w:qFormat/>
    <w:rsid w:val="00674711"/>
    <w:rPr>
      <w:b/>
      <w:bCs/>
    </w:rPr>
  </w:style>
  <w:style w:type="character" w:styleId="nfase">
    <w:name w:val="Emphasis"/>
    <w:basedOn w:val="Tipodeletrapredefinidodopargrafo"/>
    <w:uiPriority w:val="20"/>
    <w:qFormat/>
    <w:rsid w:val="00674711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C21AAC"/>
    <w:rPr>
      <w:color w:val="0000FF"/>
      <w:u w:val="single"/>
    </w:rPr>
  </w:style>
  <w:style w:type="paragraph" w:customStyle="1" w:styleId="msonormal0">
    <w:name w:val="msonormal"/>
    <w:basedOn w:val="Normal"/>
    <w:rsid w:val="00ED5D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s\Abstracts\751\60\fae12ac9-d7cb-4cb8-987e-fdb86e805a1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6749F-1EAE-4BAB-A7C1-782B1699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2963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Ferreira</dc:creator>
  <cp:keywords/>
  <dc:description/>
  <cp:lastModifiedBy>Raquel Ferreira</cp:lastModifiedBy>
  <cp:revision>4</cp:revision>
  <dcterms:created xsi:type="dcterms:W3CDTF">2023-03-15T15:20:00Z</dcterms:created>
  <dcterms:modified xsi:type="dcterms:W3CDTF">2023-03-15T15:21:00Z</dcterms:modified>
</cp:coreProperties>
</file>