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B98F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38   PROCEDIMENTOS MINOR, ATENÇÃO MAJOR: TAMPONAMENTO CARDÍACO APÓS INTERVENÇÃO ENDOVASCULAR</w:t>
      </w:r>
    </w:p>
    <w:p w14:paraId="7C3D54B3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Rafaela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Silva(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 xml:space="preserve">1); Paulo Almeida(1); Joana Veiga(1); Rita Sá(1); Celina Oliveira(1);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Isabe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 Cerqueira(1)</w:t>
      </w:r>
    </w:p>
    <w:p w14:paraId="57E7483E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Hospital de Braga </w:t>
      </w:r>
    </w:p>
    <w:p w14:paraId="5ECB6995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C9E6B05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A anestesia fora do bloco operatório (AFBO) apresenta vários desafios para o Anestesiologista: não só pela distância ao bloco operatório e à ajuda diferenciada, mas também pelo acesso reduzido a material e fármacos, ou pela não familiaridade com os mesmos</w:t>
      </w:r>
      <w:r w:rsidRPr="008D4853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8D4853">
        <w:rPr>
          <w:rFonts w:ascii="Arial" w:hAnsi="Arial" w:cs="Arial"/>
          <w:color w:val="000000"/>
          <w:sz w:val="20"/>
          <w:szCs w:val="20"/>
        </w:rPr>
        <w:t>. Para além disso, o avanço tecnológico permitiu o desenvolvimento de técnicas realizadas fora do bloco operatório que, apesar de minimamente invasivas, constituem procedimentos complexos e com risco de complicações potencialmente graves.</w:t>
      </w:r>
    </w:p>
    <w:p w14:paraId="247C7C41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Apresentamos um caso de uma doente do sexo feminino, 49 anos, ASA 3 proposta para angioplastia da veia cava superior (VCS) para tratamento de Síndrome VCS, relacionado com trombose de cateter venoso central de quimioterapia. Sob monitorização </w:t>
      </w:r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standard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 da ASA, da pressão arterial invasiva e da profundidade anestésica, o procedimento foi realizado sob anestesia geral balanceada com intubação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orotraqueal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. A abordagem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endovascular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foi realizada através da veia femoral direita. Por dificuldade técnica, com insucesso na recanalização por via femoral, houve necessidade de abordar a veia cefálica direita. Durante o procedimento, a doente iniciou quadro súbito de hipotensão e taquicardia. O procedimento foi interrompido e, durante a colocação de um cateter venoso central na veia jugular esquerda, constatou-se a presença de turgescência jugular. Foi iniciado suporte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vasopressor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com noradrenalina, e realizada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ecoscopia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cardíaca que evidenciou derrame pericárdico. Foi contactado o serviço de urgência da Cardiologia que através de ecocardiograma confirmou o diagnóstico de tamponamento cardíaco. Foi realizada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pericardiocentese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com posterior estabilidade hemodinâmica. O procedimento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endovascular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não foi retomado e foi realizado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angioTC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que excluiu hemorragia ativa. A doente foi para a unidade de cuidados pós-anestésicos onde foi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extubada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no mesmo dia. A monitorização pós-operatória foi realizada na unidade de cuidados intermédios e decorreu sem intercorrências.</w:t>
      </w:r>
    </w:p>
    <w:p w14:paraId="56B7907F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A AFBO continua a ser um desafio para os Anestesiologistas que devem garantir a segurança e o conforto dos pacientes, sendo que nenhum procedimento realizado fora do bloco operatório deve ser considerado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minor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 xml:space="preserve">, </w:t>
      </w:r>
      <w:r w:rsidRPr="008D4853">
        <w:rPr>
          <w:rFonts w:ascii="Arial" w:hAnsi="Arial" w:cs="Arial"/>
          <w:color w:val="000000"/>
          <w:sz w:val="20"/>
          <w:szCs w:val="20"/>
        </w:rPr>
        <w:t>devendo estar assegurados os mesmos cuidados de qualidade que são adotados no bloco operatório</w:t>
      </w:r>
      <w:r w:rsidRPr="008D4853">
        <w:rPr>
          <w:rStyle w:val="nfase"/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8D4853">
        <w:rPr>
          <w:rFonts w:ascii="Arial" w:hAnsi="Arial" w:cs="Arial"/>
          <w:color w:val="000000"/>
          <w:sz w:val="20"/>
          <w:szCs w:val="20"/>
        </w:rPr>
        <w:t>. Para além disso, revela-se essencial a familiarização com o procedimento realizado, facilitando não só o delinear do plano anestésico, mas também o diagnóstico de possíveis complicações.</w:t>
      </w:r>
    </w:p>
    <w:p w14:paraId="5B2F2B88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Como mensagem chave, este caso mostra que é imperioso que os padrões de qualidade e segurança adotados nos cuidados anestésicos não devam diferir nem depender do local onde estes se realizam.</w:t>
      </w:r>
    </w:p>
    <w:p w14:paraId="3BA5E09D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5A6C990" w14:textId="77777777" w:rsidR="00272821" w:rsidRPr="001A343E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A343E">
        <w:rPr>
          <w:rFonts w:ascii="Arial" w:hAnsi="Arial" w:cs="Arial"/>
          <w:color w:val="000000"/>
          <w:sz w:val="20"/>
          <w:szCs w:val="20"/>
          <w:lang w:val="en-US"/>
        </w:rPr>
        <w:t>Bibliografia</w:t>
      </w:r>
      <w:proofErr w:type="spellEnd"/>
      <w:r w:rsidRPr="001A343E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4A8F940B" w14:textId="77777777" w:rsidR="00272821" w:rsidRPr="001A343E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1- Marc Garnier and Francis Bonnet. M</w:t>
      </w:r>
      <w:r w:rsidRPr="001A343E">
        <w:rPr>
          <w:rStyle w:val="nfase"/>
          <w:rFonts w:ascii="Arial" w:hAnsi="Arial" w:cs="Arial"/>
          <w:sz w:val="20"/>
          <w:szCs w:val="20"/>
          <w:lang w:val="en-US"/>
        </w:rPr>
        <w:t xml:space="preserve">anagement of anesthetic emergencies and complications outside the operating room.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Curr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Opin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Anesthesiol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2014, 27:437–441</w:t>
      </w:r>
    </w:p>
    <w:p w14:paraId="012F5812" w14:textId="77777777" w:rsidR="00272821" w:rsidRPr="008D4853" w:rsidRDefault="00272821" w:rsidP="002728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2 - Claudio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Melloni</w:t>
      </w:r>
      <w:proofErr w:type="spellEnd"/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Pr="001A343E">
        <w:rPr>
          <w:rStyle w:val="nfase"/>
          <w:rFonts w:ascii="Arial" w:hAnsi="Arial" w:cs="Arial"/>
          <w:sz w:val="20"/>
          <w:szCs w:val="20"/>
          <w:lang w:val="en-US"/>
        </w:rPr>
        <w:t>Anesthesia and sedation outside the operating room: how to prevent risk and maintain good quality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8D4853">
        <w:rPr>
          <w:rFonts w:ascii="Arial" w:hAnsi="Arial" w:cs="Arial"/>
          <w:sz w:val="20"/>
          <w:szCs w:val="20"/>
        </w:rPr>
        <w:t>Curr</w:t>
      </w:r>
      <w:proofErr w:type="spellEnd"/>
      <w:r w:rsidRPr="008D4853">
        <w:rPr>
          <w:rFonts w:ascii="Arial" w:hAnsi="Arial" w:cs="Arial"/>
          <w:sz w:val="20"/>
          <w:szCs w:val="20"/>
        </w:rPr>
        <w:t> </w:t>
      </w:r>
      <w:proofErr w:type="spellStart"/>
      <w:r w:rsidRPr="008D4853">
        <w:rPr>
          <w:rFonts w:ascii="Arial" w:hAnsi="Arial" w:cs="Arial"/>
          <w:sz w:val="20"/>
          <w:szCs w:val="20"/>
        </w:rPr>
        <w:t>Opin</w:t>
      </w:r>
      <w:proofErr w:type="spellEnd"/>
      <w:r w:rsidRPr="008D4853">
        <w:rPr>
          <w:rFonts w:ascii="Arial" w:hAnsi="Arial" w:cs="Arial"/>
          <w:sz w:val="20"/>
          <w:szCs w:val="20"/>
        </w:rPr>
        <w:t> </w:t>
      </w:r>
      <w:proofErr w:type="spellStart"/>
      <w:r w:rsidRPr="008D4853">
        <w:rPr>
          <w:rFonts w:ascii="Arial" w:hAnsi="Arial" w:cs="Arial"/>
          <w:sz w:val="20"/>
          <w:szCs w:val="20"/>
        </w:rPr>
        <w:t>Anaesthesiol</w:t>
      </w:r>
      <w:proofErr w:type="spellEnd"/>
      <w:r w:rsidRPr="008D4853">
        <w:rPr>
          <w:rFonts w:ascii="Arial" w:hAnsi="Arial" w:cs="Arial"/>
          <w:sz w:val="20"/>
          <w:szCs w:val="20"/>
        </w:rPr>
        <w:t> 2007, 20:513–519</w:t>
      </w:r>
    </w:p>
    <w:p w14:paraId="10525780" w14:textId="77777777" w:rsidR="00272821" w:rsidRPr="008D4853" w:rsidRDefault="00272821" w:rsidP="00272821">
      <w:p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lastRenderedPageBreak/>
        <w:br/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F76107" wp14:editId="11522C27">
            <wp:extent cx="5707380" cy="7620000"/>
            <wp:effectExtent l="0" t="0" r="762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CEF" w14:textId="6489D27E" w:rsidR="00FC35B8" w:rsidRPr="001327B4" w:rsidRDefault="00FC35B8" w:rsidP="00272821">
      <w:pPr>
        <w:rPr>
          <w:rFonts w:ascii="Arial" w:eastAsia="Times New Roman" w:hAnsi="Arial" w:cs="Arial"/>
          <w:sz w:val="20"/>
          <w:szCs w:val="20"/>
          <w:lang w:val="en-US"/>
        </w:rPr>
      </w:pPr>
    </w:p>
    <w:sectPr w:rsidR="00FC35B8" w:rsidRPr="00132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6C21"/>
    <w:multiLevelType w:val="multilevel"/>
    <w:tmpl w:val="D35C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545C6"/>
    <w:multiLevelType w:val="multilevel"/>
    <w:tmpl w:val="057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2"/>
  </w:num>
  <w:num w:numId="4" w16cid:durableId="1140810425">
    <w:abstractNumId w:val="10"/>
  </w:num>
  <w:num w:numId="5" w16cid:durableId="1180126137">
    <w:abstractNumId w:val="4"/>
  </w:num>
  <w:num w:numId="6" w16cid:durableId="2018262344">
    <w:abstractNumId w:val="3"/>
  </w:num>
  <w:num w:numId="7" w16cid:durableId="662007213">
    <w:abstractNumId w:val="9"/>
  </w:num>
  <w:num w:numId="8" w16cid:durableId="1755978351">
    <w:abstractNumId w:val="11"/>
  </w:num>
  <w:num w:numId="9" w16cid:durableId="431822853">
    <w:abstractNumId w:val="6"/>
  </w:num>
  <w:num w:numId="10" w16cid:durableId="48500991">
    <w:abstractNumId w:val="5"/>
  </w:num>
  <w:num w:numId="11" w16cid:durableId="850219951">
    <w:abstractNumId w:val="8"/>
  </w:num>
  <w:num w:numId="12" w16cid:durableId="1913926732">
    <w:abstractNumId w:val="7"/>
  </w:num>
  <w:num w:numId="13" w16cid:durableId="145602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35449"/>
    <w:rsid w:val="000D1133"/>
    <w:rsid w:val="001307CB"/>
    <w:rsid w:val="001327B4"/>
    <w:rsid w:val="001570B0"/>
    <w:rsid w:val="001B6790"/>
    <w:rsid w:val="001C61FC"/>
    <w:rsid w:val="00225892"/>
    <w:rsid w:val="0026086F"/>
    <w:rsid w:val="00272821"/>
    <w:rsid w:val="00273284"/>
    <w:rsid w:val="002938F9"/>
    <w:rsid w:val="002B76FE"/>
    <w:rsid w:val="003E41BB"/>
    <w:rsid w:val="00416AB4"/>
    <w:rsid w:val="00417AFD"/>
    <w:rsid w:val="004277A8"/>
    <w:rsid w:val="00464E40"/>
    <w:rsid w:val="004723E7"/>
    <w:rsid w:val="004A4738"/>
    <w:rsid w:val="0051787D"/>
    <w:rsid w:val="00533E41"/>
    <w:rsid w:val="005F6218"/>
    <w:rsid w:val="0061254B"/>
    <w:rsid w:val="00630D4C"/>
    <w:rsid w:val="00640925"/>
    <w:rsid w:val="00670F9D"/>
    <w:rsid w:val="00674711"/>
    <w:rsid w:val="006C4C08"/>
    <w:rsid w:val="007B4A70"/>
    <w:rsid w:val="007D47C6"/>
    <w:rsid w:val="008008E2"/>
    <w:rsid w:val="00801562"/>
    <w:rsid w:val="00857D77"/>
    <w:rsid w:val="00991A4E"/>
    <w:rsid w:val="00A13F42"/>
    <w:rsid w:val="00AC2930"/>
    <w:rsid w:val="00B0235C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A7C6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2023-03-15T15:22:00Z</dcterms:created>
  <dcterms:modified xsi:type="dcterms:W3CDTF">2023-03-15T15:22:00Z</dcterms:modified>
</cp:coreProperties>
</file>