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0629D5" w14:textId="77777777" w:rsidR="00706E37" w:rsidRPr="001A343E" w:rsidRDefault="00706E37" w:rsidP="00706E37">
      <w:pPr>
        <w:pStyle w:val="NormalWeb"/>
        <w:spacing w:before="0" w:beforeAutospacing="0" w:after="0" w:afterAutospacing="0"/>
        <w:rPr>
          <w:rFonts w:ascii="Arial" w:hAnsi="Arial" w:cs="Arial"/>
          <w:sz w:val="20"/>
          <w:szCs w:val="20"/>
          <w:lang w:val="en-US"/>
        </w:rPr>
      </w:pPr>
      <w:r w:rsidRPr="001A343E">
        <w:rPr>
          <w:rStyle w:val="Forte"/>
          <w:rFonts w:ascii="Arial" w:hAnsi="Arial" w:cs="Arial"/>
          <w:sz w:val="20"/>
          <w:szCs w:val="20"/>
          <w:lang w:val="en-US"/>
        </w:rPr>
        <w:t>PO39   UNWANTED CURARIZATION DURING INDUCTION OF ANESTHESIA DUE TO SIPHON PHENOMENA</w:t>
      </w:r>
    </w:p>
    <w:p w14:paraId="5C7FC86A" w14:textId="77777777" w:rsidR="00706E37" w:rsidRPr="008D4853" w:rsidRDefault="00706E37" w:rsidP="00706E37">
      <w:pPr>
        <w:pStyle w:val="NormalWeb"/>
        <w:spacing w:before="0" w:beforeAutospacing="0" w:after="0" w:afterAutospacing="0"/>
        <w:rPr>
          <w:rFonts w:ascii="Arial" w:hAnsi="Arial" w:cs="Arial"/>
          <w:sz w:val="20"/>
          <w:szCs w:val="20"/>
        </w:rPr>
      </w:pPr>
      <w:r w:rsidRPr="008D4853">
        <w:rPr>
          <w:rStyle w:val="nfase"/>
          <w:rFonts w:ascii="Arial" w:hAnsi="Arial" w:cs="Arial"/>
          <w:sz w:val="20"/>
          <w:szCs w:val="20"/>
        </w:rPr>
        <w:t xml:space="preserve">Ana Vasconcelos </w:t>
      </w:r>
      <w:proofErr w:type="gramStart"/>
      <w:r w:rsidRPr="008D4853">
        <w:rPr>
          <w:rStyle w:val="nfase"/>
          <w:rFonts w:ascii="Arial" w:hAnsi="Arial" w:cs="Arial"/>
          <w:sz w:val="20"/>
          <w:szCs w:val="20"/>
        </w:rPr>
        <w:t>Pereira(</w:t>
      </w:r>
      <w:proofErr w:type="gramEnd"/>
      <w:r w:rsidRPr="008D4853">
        <w:rPr>
          <w:rStyle w:val="nfase"/>
          <w:rFonts w:ascii="Arial" w:hAnsi="Arial" w:cs="Arial"/>
          <w:sz w:val="20"/>
          <w:szCs w:val="20"/>
        </w:rPr>
        <w:t>1); Francisco Teixeira(2); Paulo Barbosa(3); Pedro Amorim(3)</w:t>
      </w:r>
    </w:p>
    <w:p w14:paraId="2D3863E6" w14:textId="77777777" w:rsidR="00706E37" w:rsidRPr="008D4853" w:rsidRDefault="00706E37" w:rsidP="00706E37">
      <w:pPr>
        <w:pStyle w:val="NormalWeb"/>
        <w:spacing w:before="0" w:beforeAutospacing="0" w:after="0" w:afterAutospacing="0"/>
        <w:rPr>
          <w:rFonts w:ascii="Arial" w:hAnsi="Arial" w:cs="Arial"/>
          <w:sz w:val="20"/>
          <w:szCs w:val="20"/>
        </w:rPr>
      </w:pPr>
      <w:r w:rsidRPr="008D4853">
        <w:rPr>
          <w:rStyle w:val="nfase"/>
          <w:rFonts w:ascii="Arial" w:hAnsi="Arial" w:cs="Arial"/>
          <w:sz w:val="20"/>
          <w:szCs w:val="20"/>
        </w:rPr>
        <w:t xml:space="preserve">(1) Hospital de Vila Franca de Xira (2) Centro Hospitalar de Trás-os-Montes e Alto Douro, EPE / Hospital de Vila Real (3) CHUP </w:t>
      </w:r>
    </w:p>
    <w:p w14:paraId="675D3CC7" w14:textId="77777777" w:rsidR="00706E37" w:rsidRPr="008D4853" w:rsidRDefault="00706E37" w:rsidP="00706E37">
      <w:pPr>
        <w:pStyle w:val="NormalWeb"/>
        <w:spacing w:before="0" w:beforeAutospacing="0" w:after="0" w:afterAutospacing="0"/>
        <w:rPr>
          <w:rFonts w:ascii="Arial" w:hAnsi="Arial" w:cs="Arial"/>
          <w:sz w:val="20"/>
          <w:szCs w:val="20"/>
        </w:rPr>
      </w:pPr>
      <w:r w:rsidRPr="008D4853">
        <w:rPr>
          <w:rFonts w:ascii="Arial" w:hAnsi="Arial" w:cs="Arial"/>
          <w:sz w:val="20"/>
          <w:szCs w:val="20"/>
        </w:rPr>
        <w:t> </w:t>
      </w:r>
    </w:p>
    <w:p w14:paraId="7EF19068" w14:textId="77777777" w:rsidR="00706E37" w:rsidRPr="001A343E" w:rsidRDefault="00706E37" w:rsidP="00706E37">
      <w:pPr>
        <w:pStyle w:val="NormalWeb"/>
        <w:spacing w:before="0" w:beforeAutospacing="0" w:after="0" w:afterAutospacing="0"/>
        <w:rPr>
          <w:rFonts w:ascii="Arial" w:hAnsi="Arial" w:cs="Arial"/>
          <w:sz w:val="20"/>
          <w:szCs w:val="20"/>
          <w:lang w:val="en-US"/>
        </w:rPr>
      </w:pPr>
      <w:r w:rsidRPr="001A343E">
        <w:rPr>
          <w:rStyle w:val="Forte"/>
          <w:rFonts w:ascii="Arial" w:hAnsi="Arial" w:cs="Arial"/>
          <w:color w:val="212529"/>
          <w:sz w:val="20"/>
          <w:szCs w:val="20"/>
          <w:lang w:val="en-US"/>
        </w:rPr>
        <w:t>Introduction</w:t>
      </w:r>
    </w:p>
    <w:p w14:paraId="143DD820" w14:textId="77777777" w:rsidR="00706E37" w:rsidRPr="001A343E" w:rsidRDefault="00706E37" w:rsidP="00706E37">
      <w:pPr>
        <w:pStyle w:val="NormalWeb"/>
        <w:spacing w:before="0" w:beforeAutospacing="0" w:after="0" w:afterAutospacing="0"/>
        <w:rPr>
          <w:rFonts w:ascii="Arial" w:hAnsi="Arial" w:cs="Arial"/>
          <w:sz w:val="20"/>
          <w:szCs w:val="20"/>
          <w:lang w:val="en-US"/>
        </w:rPr>
      </w:pPr>
      <w:r w:rsidRPr="001A343E">
        <w:rPr>
          <w:rFonts w:ascii="Arial" w:hAnsi="Arial" w:cs="Arial"/>
          <w:color w:val="212529"/>
          <w:sz w:val="20"/>
          <w:szCs w:val="20"/>
          <w:lang w:val="en-US"/>
        </w:rPr>
        <w:t>Drug infusion systems are extensively used in intraoperative care. Critical incidents may occur due to inappropriate setting of these systems.</w:t>
      </w:r>
      <w:r w:rsidRPr="001A343E">
        <w:rPr>
          <w:rFonts w:ascii="Arial" w:hAnsi="Arial" w:cs="Arial"/>
          <w:color w:val="212529"/>
          <w:sz w:val="20"/>
          <w:szCs w:val="20"/>
          <w:vertAlign w:val="superscript"/>
          <w:lang w:val="en-US"/>
        </w:rPr>
        <w:t xml:space="preserve"> </w:t>
      </w:r>
      <w:r w:rsidRPr="001A343E">
        <w:rPr>
          <w:rFonts w:ascii="Arial" w:hAnsi="Arial" w:cs="Arial"/>
          <w:color w:val="000000"/>
          <w:sz w:val="20"/>
          <w:szCs w:val="20"/>
          <w:lang w:val="en-US"/>
        </w:rPr>
        <w:t>We report a case of unwanted drug administration due to a physics principle known as siphon phenomena.</w:t>
      </w:r>
      <w:r w:rsidRPr="001A343E">
        <w:rPr>
          <w:rFonts w:ascii="Arial" w:hAnsi="Arial" w:cs="Arial"/>
          <w:color w:val="000000"/>
          <w:sz w:val="20"/>
          <w:szCs w:val="20"/>
          <w:vertAlign w:val="superscript"/>
          <w:lang w:val="en-US"/>
        </w:rPr>
        <w:t>1</w:t>
      </w:r>
      <w:r w:rsidRPr="001A343E">
        <w:rPr>
          <w:rFonts w:ascii="Arial" w:hAnsi="Arial" w:cs="Arial"/>
          <w:color w:val="000000"/>
          <w:sz w:val="20"/>
          <w:szCs w:val="20"/>
          <w:lang w:val="en-US"/>
        </w:rPr>
        <w:t xml:space="preserve"> Awareness about the siphon phenomenon and strict compliance with safety precautions while using drug infusion devices accounts for increased safety.  </w:t>
      </w:r>
    </w:p>
    <w:p w14:paraId="2398FE4C" w14:textId="77777777" w:rsidR="00706E37" w:rsidRPr="001A343E" w:rsidRDefault="00706E37" w:rsidP="00706E37">
      <w:pPr>
        <w:pStyle w:val="NormalWeb"/>
        <w:spacing w:before="0" w:beforeAutospacing="0" w:after="0" w:afterAutospacing="0"/>
        <w:rPr>
          <w:rFonts w:ascii="Arial" w:hAnsi="Arial" w:cs="Arial"/>
          <w:sz w:val="20"/>
          <w:szCs w:val="20"/>
          <w:lang w:val="en-US"/>
        </w:rPr>
      </w:pPr>
      <w:r w:rsidRPr="001A343E">
        <w:rPr>
          <w:rFonts w:ascii="Arial" w:hAnsi="Arial" w:cs="Arial"/>
          <w:sz w:val="20"/>
          <w:szCs w:val="20"/>
          <w:lang w:val="en-US"/>
        </w:rPr>
        <w:t> </w:t>
      </w:r>
    </w:p>
    <w:p w14:paraId="3F6065B4" w14:textId="77777777" w:rsidR="00706E37" w:rsidRPr="001A343E" w:rsidRDefault="00706E37" w:rsidP="00706E37">
      <w:pPr>
        <w:pStyle w:val="NormalWeb"/>
        <w:spacing w:before="0" w:beforeAutospacing="0" w:after="0" w:afterAutospacing="0"/>
        <w:rPr>
          <w:rFonts w:ascii="Arial" w:hAnsi="Arial" w:cs="Arial"/>
          <w:sz w:val="20"/>
          <w:szCs w:val="20"/>
          <w:lang w:val="en-US"/>
        </w:rPr>
      </w:pPr>
      <w:r w:rsidRPr="001A343E">
        <w:rPr>
          <w:rStyle w:val="Forte"/>
          <w:rFonts w:ascii="Arial" w:hAnsi="Arial" w:cs="Arial"/>
          <w:color w:val="212529"/>
          <w:sz w:val="20"/>
          <w:szCs w:val="20"/>
          <w:lang w:val="en-US"/>
        </w:rPr>
        <w:t>Case Report</w:t>
      </w:r>
    </w:p>
    <w:p w14:paraId="702A77CA" w14:textId="77777777" w:rsidR="00706E37" w:rsidRPr="001A343E" w:rsidRDefault="00706E37" w:rsidP="00706E37">
      <w:pPr>
        <w:pStyle w:val="NormalWeb"/>
        <w:spacing w:before="0" w:beforeAutospacing="0" w:after="0" w:afterAutospacing="0"/>
        <w:rPr>
          <w:rFonts w:ascii="Arial" w:hAnsi="Arial" w:cs="Arial"/>
          <w:sz w:val="20"/>
          <w:szCs w:val="20"/>
          <w:lang w:val="en-US"/>
        </w:rPr>
      </w:pPr>
      <w:r w:rsidRPr="001A343E">
        <w:rPr>
          <w:rFonts w:ascii="Arial" w:hAnsi="Arial" w:cs="Arial"/>
          <w:color w:val="212529"/>
          <w:sz w:val="20"/>
          <w:szCs w:val="20"/>
          <w:lang w:val="en-US"/>
        </w:rPr>
        <w:t>A 60-yo male was scheduled for elective lumbar surgery. ASA standard monitoring was used plus invasive blood pressure (BP), processed electroencephalogram (EEG) and neuromuscular block (NMB).</w:t>
      </w:r>
    </w:p>
    <w:p w14:paraId="28427293" w14:textId="77777777" w:rsidR="00706E37" w:rsidRPr="001A343E" w:rsidRDefault="00706E37" w:rsidP="00706E37">
      <w:pPr>
        <w:pStyle w:val="NormalWeb"/>
        <w:spacing w:before="0" w:beforeAutospacing="0" w:after="0" w:afterAutospacing="0"/>
        <w:rPr>
          <w:rFonts w:ascii="Arial" w:hAnsi="Arial" w:cs="Arial"/>
          <w:sz w:val="20"/>
          <w:szCs w:val="20"/>
          <w:lang w:val="en-US"/>
        </w:rPr>
      </w:pPr>
      <w:r w:rsidRPr="001A343E">
        <w:rPr>
          <w:rFonts w:ascii="Arial" w:hAnsi="Arial" w:cs="Arial"/>
          <w:color w:val="212529"/>
          <w:sz w:val="20"/>
          <w:szCs w:val="20"/>
          <w:lang w:val="en-US"/>
        </w:rPr>
        <w:t xml:space="preserve">A Fresenius Orchestra™ infusion station was used with 3 infusion pumps: 2 were programmed with remifentanil and propofol for TCI and a 3rd received a rocuronium syringe, that was not programmed and had its clamp open. The extenders were coupled to </w:t>
      </w:r>
      <w:r w:rsidRPr="001A343E">
        <w:rPr>
          <w:rFonts w:ascii="Arial" w:hAnsi="Arial" w:cs="Arial"/>
          <w:color w:val="000000"/>
          <w:sz w:val="20"/>
          <w:szCs w:val="20"/>
          <w:lang w:val="en-US"/>
        </w:rPr>
        <w:t>three individual anti-reflux valves and 3-way taps, placed in the IV system (saline at 200mL per hour) and connected to the IV cannula with a 0.9mL extender.</w:t>
      </w:r>
    </w:p>
    <w:p w14:paraId="1832445A" w14:textId="77777777" w:rsidR="00706E37" w:rsidRPr="001A343E" w:rsidRDefault="00706E37" w:rsidP="00706E37">
      <w:pPr>
        <w:pStyle w:val="NormalWeb"/>
        <w:spacing w:before="0" w:beforeAutospacing="0" w:after="0" w:afterAutospacing="0"/>
        <w:rPr>
          <w:rFonts w:ascii="Arial" w:hAnsi="Arial" w:cs="Arial"/>
          <w:sz w:val="20"/>
          <w:szCs w:val="20"/>
          <w:lang w:val="en-US"/>
        </w:rPr>
      </w:pPr>
      <w:r w:rsidRPr="001A343E">
        <w:rPr>
          <w:rFonts w:ascii="Arial" w:hAnsi="Arial" w:cs="Arial"/>
          <w:color w:val="000000"/>
          <w:sz w:val="20"/>
          <w:szCs w:val="20"/>
          <w:lang w:val="en-US"/>
        </w:rPr>
        <w:t>A few seconds later, the patient developed agitation, blurred vision, difficulty keeping the eyes open, dyspnea, and muscle weakness. Left eyelid ptosis, slurred speech, reduced strength in 4 limbs, and reduced chest expansion were observed, but ventilatory drive was maintained. SpO</w:t>
      </w:r>
      <w:r w:rsidRPr="001A343E">
        <w:rPr>
          <w:rFonts w:ascii="Arial" w:hAnsi="Arial" w:cs="Arial"/>
          <w:color w:val="000000"/>
          <w:sz w:val="20"/>
          <w:szCs w:val="20"/>
          <w:vertAlign w:val="subscript"/>
          <w:lang w:val="en-US"/>
        </w:rPr>
        <w:t>2</w:t>
      </w:r>
      <w:r w:rsidRPr="001A343E">
        <w:rPr>
          <w:rFonts w:ascii="Arial" w:hAnsi="Arial" w:cs="Arial"/>
          <w:color w:val="000000"/>
          <w:sz w:val="20"/>
          <w:szCs w:val="20"/>
          <w:lang w:val="en-US"/>
        </w:rPr>
        <w:t xml:space="preserve"> dropped to 74% but cerebral oximetry, BP, heart rate, ECG, or EEG monitoring stayed normal (figure 1). </w:t>
      </w:r>
      <w:proofErr w:type="spellStart"/>
      <w:r w:rsidRPr="001A343E">
        <w:rPr>
          <w:rFonts w:ascii="Arial" w:hAnsi="Arial" w:cs="Arial"/>
          <w:color w:val="000000"/>
          <w:sz w:val="20"/>
          <w:szCs w:val="20"/>
          <w:lang w:val="en-US"/>
        </w:rPr>
        <w:t>Curarization</w:t>
      </w:r>
      <w:proofErr w:type="spellEnd"/>
      <w:r w:rsidRPr="001A343E">
        <w:rPr>
          <w:rFonts w:ascii="Arial" w:hAnsi="Arial" w:cs="Arial"/>
          <w:color w:val="000000"/>
          <w:sz w:val="20"/>
          <w:szCs w:val="20"/>
          <w:lang w:val="en-US"/>
        </w:rPr>
        <w:t xml:space="preserve"> was suspected, oxygen was administered, the patient was reassured and remifentanil was started to allow painless NMB monitoring, revealing a TOF ratio of 64%. No BNM reversal drugs were given, and within 10 minutes the TOF was &gt;90%. The patient remained alert with a sustained and oriented verbal response and respiratory drive. Induction and surgery proceeded uneventfully. After the procedure the patient was calm and described the event with precision.</w:t>
      </w:r>
    </w:p>
    <w:p w14:paraId="5B74E718" w14:textId="77777777" w:rsidR="00706E37" w:rsidRPr="001A343E" w:rsidRDefault="00706E37" w:rsidP="00706E37">
      <w:pPr>
        <w:pStyle w:val="NormalWeb"/>
        <w:spacing w:before="0" w:beforeAutospacing="0" w:after="0" w:afterAutospacing="0"/>
        <w:rPr>
          <w:rFonts w:ascii="Arial" w:hAnsi="Arial" w:cs="Arial"/>
          <w:sz w:val="20"/>
          <w:szCs w:val="20"/>
          <w:lang w:val="en-US"/>
        </w:rPr>
      </w:pPr>
      <w:r w:rsidRPr="001A343E">
        <w:rPr>
          <w:rFonts w:ascii="Arial" w:hAnsi="Arial" w:cs="Arial"/>
          <w:sz w:val="20"/>
          <w:szCs w:val="20"/>
          <w:lang w:val="en-US"/>
        </w:rPr>
        <w:t> </w:t>
      </w:r>
    </w:p>
    <w:p w14:paraId="2ED2589D" w14:textId="77777777" w:rsidR="00706E37" w:rsidRPr="001A343E" w:rsidRDefault="00706E37" w:rsidP="00706E37">
      <w:pPr>
        <w:pStyle w:val="NormalWeb"/>
        <w:spacing w:before="0" w:beforeAutospacing="0" w:after="0" w:afterAutospacing="0"/>
        <w:rPr>
          <w:rFonts w:ascii="Arial" w:hAnsi="Arial" w:cs="Arial"/>
          <w:sz w:val="20"/>
          <w:szCs w:val="20"/>
          <w:lang w:val="en-US"/>
        </w:rPr>
      </w:pPr>
      <w:r w:rsidRPr="001A343E">
        <w:rPr>
          <w:rStyle w:val="Forte"/>
          <w:rFonts w:ascii="Arial" w:hAnsi="Arial" w:cs="Arial"/>
          <w:color w:val="212529"/>
          <w:sz w:val="20"/>
          <w:szCs w:val="20"/>
          <w:lang w:val="en-US"/>
        </w:rPr>
        <w:t>Discussion</w:t>
      </w:r>
    </w:p>
    <w:p w14:paraId="569E5128" w14:textId="77777777" w:rsidR="00706E37" w:rsidRPr="001A343E" w:rsidRDefault="00706E37" w:rsidP="00706E37">
      <w:pPr>
        <w:pStyle w:val="NormalWeb"/>
        <w:spacing w:before="0" w:beforeAutospacing="0" w:after="0" w:afterAutospacing="0"/>
        <w:rPr>
          <w:rFonts w:ascii="Arial" w:hAnsi="Arial" w:cs="Arial"/>
          <w:sz w:val="20"/>
          <w:szCs w:val="20"/>
          <w:lang w:val="en-US"/>
        </w:rPr>
      </w:pPr>
      <w:r w:rsidRPr="001A343E">
        <w:rPr>
          <w:rFonts w:ascii="Arial" w:hAnsi="Arial" w:cs="Arial"/>
          <w:color w:val="212529"/>
          <w:sz w:val="20"/>
          <w:szCs w:val="20"/>
          <w:lang w:val="en-US"/>
        </w:rPr>
        <w:t xml:space="preserve">A rocuronium </w:t>
      </w:r>
      <w:r w:rsidRPr="001A343E">
        <w:rPr>
          <w:rFonts w:ascii="Arial" w:hAnsi="Arial" w:cs="Arial"/>
          <w:color w:val="000000"/>
          <w:sz w:val="20"/>
          <w:szCs w:val="20"/>
          <w:lang w:val="en-US"/>
        </w:rPr>
        <w:t xml:space="preserve">leak leading to unwanted </w:t>
      </w:r>
      <w:proofErr w:type="spellStart"/>
      <w:r w:rsidRPr="001A343E">
        <w:rPr>
          <w:rFonts w:ascii="Arial" w:hAnsi="Arial" w:cs="Arial"/>
          <w:color w:val="000000"/>
          <w:sz w:val="20"/>
          <w:szCs w:val="20"/>
          <w:lang w:val="en-US"/>
        </w:rPr>
        <w:t>curarization</w:t>
      </w:r>
      <w:proofErr w:type="spellEnd"/>
      <w:r w:rsidRPr="001A343E">
        <w:rPr>
          <w:rFonts w:ascii="Arial" w:hAnsi="Arial" w:cs="Arial"/>
          <w:color w:val="000000"/>
          <w:sz w:val="20"/>
          <w:szCs w:val="20"/>
          <w:lang w:val="en-US"/>
        </w:rPr>
        <w:t xml:space="preserve"> was suspected, as the perfusion station was positioned 30cm above the IV access (figure 2). The leak can </w:t>
      </w:r>
      <w:r w:rsidRPr="001A343E">
        <w:rPr>
          <w:rFonts w:ascii="Arial" w:hAnsi="Arial" w:cs="Arial"/>
          <w:color w:val="212529"/>
          <w:sz w:val="20"/>
          <w:szCs w:val="20"/>
          <w:lang w:val="en-US"/>
        </w:rPr>
        <w:t xml:space="preserve">be explained by siphon phenomena. A siphon is initiated due to the negative pressure generated at the lower end, in which the atmospheric pressure adds to the pressure of the fluid column, displacing the fluid until there is a pressure equilibrium. We did not find any similar case in the literature. By ruling out other causes, this case shows that safety precautions must be consistently applied. The fact that the 3-way tap was open, even with the infusions off, the clamp not closed and the use of anti-reflux instead of anti-siphon valves probably led to the unwanted </w:t>
      </w:r>
      <w:proofErr w:type="spellStart"/>
      <w:r w:rsidRPr="001A343E">
        <w:rPr>
          <w:rFonts w:ascii="Arial" w:hAnsi="Arial" w:cs="Arial"/>
          <w:color w:val="212529"/>
          <w:sz w:val="20"/>
          <w:szCs w:val="20"/>
          <w:lang w:val="en-US"/>
        </w:rPr>
        <w:t>curarization</w:t>
      </w:r>
      <w:proofErr w:type="spellEnd"/>
      <w:r w:rsidRPr="001A343E">
        <w:rPr>
          <w:rFonts w:ascii="Arial" w:hAnsi="Arial" w:cs="Arial"/>
          <w:color w:val="212529"/>
          <w:sz w:val="20"/>
          <w:szCs w:val="20"/>
          <w:lang w:val="en-US"/>
        </w:rPr>
        <w:t>. We can conclude that un</w:t>
      </w:r>
      <w:r w:rsidRPr="001A343E">
        <w:rPr>
          <w:rFonts w:ascii="Arial" w:hAnsi="Arial" w:cs="Arial"/>
          <w:color w:val="414141"/>
          <w:sz w:val="20"/>
          <w:szCs w:val="20"/>
          <w:shd w:val="clear" w:color="auto" w:fill="FFFFFF"/>
          <w:lang w:val="en-US"/>
        </w:rPr>
        <w:t>derstanding physics is relevant to Anesthesia practice and strict compliance with technical recommendations is key for patient safety.</w:t>
      </w:r>
    </w:p>
    <w:p w14:paraId="129C485F" w14:textId="77777777" w:rsidR="00706E37" w:rsidRPr="001A343E" w:rsidRDefault="00706E37" w:rsidP="00706E37">
      <w:pPr>
        <w:pStyle w:val="NormalWeb"/>
        <w:spacing w:before="0" w:beforeAutospacing="0" w:after="0" w:afterAutospacing="0"/>
        <w:rPr>
          <w:rFonts w:ascii="Arial" w:hAnsi="Arial" w:cs="Arial"/>
          <w:sz w:val="20"/>
          <w:szCs w:val="20"/>
          <w:lang w:val="en-US"/>
        </w:rPr>
      </w:pPr>
      <w:r w:rsidRPr="001A343E">
        <w:rPr>
          <w:rFonts w:ascii="Arial" w:hAnsi="Arial" w:cs="Arial"/>
          <w:sz w:val="20"/>
          <w:szCs w:val="20"/>
          <w:lang w:val="en-US"/>
        </w:rPr>
        <w:t> </w:t>
      </w:r>
    </w:p>
    <w:p w14:paraId="10911A04" w14:textId="77777777" w:rsidR="00706E37" w:rsidRPr="001A343E" w:rsidRDefault="00706E37" w:rsidP="00706E37">
      <w:pPr>
        <w:pStyle w:val="NormalWeb"/>
        <w:spacing w:before="0" w:beforeAutospacing="0" w:after="0" w:afterAutospacing="0"/>
        <w:rPr>
          <w:rFonts w:ascii="Arial" w:hAnsi="Arial" w:cs="Arial"/>
          <w:sz w:val="20"/>
          <w:szCs w:val="20"/>
          <w:lang w:val="en-US"/>
        </w:rPr>
      </w:pPr>
      <w:r w:rsidRPr="001A343E">
        <w:rPr>
          <w:rStyle w:val="Forte"/>
          <w:rFonts w:ascii="Arial" w:hAnsi="Arial" w:cs="Arial"/>
          <w:color w:val="212529"/>
          <w:sz w:val="20"/>
          <w:szCs w:val="20"/>
          <w:lang w:val="en-US"/>
        </w:rPr>
        <w:t>References</w:t>
      </w:r>
    </w:p>
    <w:p w14:paraId="299FB318" w14:textId="77777777" w:rsidR="00706E37" w:rsidRPr="001A343E" w:rsidRDefault="00706E37" w:rsidP="00706E37">
      <w:pPr>
        <w:pStyle w:val="NormalWeb"/>
        <w:spacing w:before="0" w:beforeAutospacing="0" w:after="0" w:afterAutospacing="0"/>
        <w:rPr>
          <w:rFonts w:ascii="Arial" w:hAnsi="Arial" w:cs="Arial"/>
          <w:sz w:val="20"/>
          <w:szCs w:val="20"/>
          <w:lang w:val="en-US"/>
        </w:rPr>
      </w:pPr>
      <w:r w:rsidRPr="001A343E">
        <w:rPr>
          <w:rFonts w:ascii="Arial" w:hAnsi="Arial" w:cs="Arial"/>
          <w:color w:val="212529"/>
          <w:sz w:val="20"/>
          <w:szCs w:val="20"/>
          <w:lang w:val="en-US"/>
        </w:rPr>
        <w:t xml:space="preserve">1-Continuing Education in </w:t>
      </w:r>
      <w:proofErr w:type="spellStart"/>
      <w:r w:rsidRPr="001A343E">
        <w:rPr>
          <w:rFonts w:ascii="Arial" w:hAnsi="Arial" w:cs="Arial"/>
          <w:color w:val="212529"/>
          <w:sz w:val="20"/>
          <w:szCs w:val="20"/>
          <w:lang w:val="en-US"/>
        </w:rPr>
        <w:t>Anaesthesia</w:t>
      </w:r>
      <w:proofErr w:type="spellEnd"/>
      <w:r w:rsidRPr="001A343E">
        <w:rPr>
          <w:rFonts w:ascii="Arial" w:hAnsi="Arial" w:cs="Arial"/>
          <w:color w:val="212529"/>
          <w:sz w:val="20"/>
          <w:szCs w:val="20"/>
          <w:lang w:val="en-US"/>
        </w:rPr>
        <w:t xml:space="preserve"> Critical Care&amp;Pain,2004,4(3):81–5.</w:t>
      </w:r>
    </w:p>
    <w:p w14:paraId="407E3CEF" w14:textId="599F7E4E" w:rsidR="00FC35B8" w:rsidRPr="00706E37" w:rsidRDefault="00706E37" w:rsidP="00706E37">
      <w:pPr>
        <w:rPr>
          <w:rFonts w:ascii="Arial" w:eastAsia="Times New Roman" w:hAnsi="Arial" w:cs="Arial"/>
          <w:sz w:val="20"/>
          <w:szCs w:val="20"/>
        </w:rPr>
      </w:pPr>
      <w:r w:rsidRPr="001A343E">
        <w:rPr>
          <w:rFonts w:ascii="Arial" w:eastAsia="Times New Roman" w:hAnsi="Arial" w:cs="Arial"/>
          <w:sz w:val="20"/>
          <w:szCs w:val="20"/>
          <w:lang w:val="en-US"/>
        </w:rPr>
        <w:br/>
      </w:r>
      <w:r w:rsidRPr="001A343E">
        <w:rPr>
          <w:rFonts w:ascii="Arial" w:eastAsia="Times New Roman" w:hAnsi="Arial" w:cs="Arial"/>
          <w:sz w:val="20"/>
          <w:szCs w:val="20"/>
          <w:lang w:val="en-US"/>
        </w:rPr>
        <w:br/>
      </w:r>
      <w:r w:rsidRPr="008D4853">
        <w:rPr>
          <w:rFonts w:ascii="Arial" w:hAnsi="Arial" w:cs="Arial"/>
          <w:noProof/>
          <w:sz w:val="20"/>
          <w:szCs w:val="20"/>
        </w:rPr>
        <w:lastRenderedPageBreak/>
        <w:drawing>
          <wp:inline distT="0" distB="0" distL="0" distR="0" wp14:anchorId="70866649" wp14:editId="6F0EE4A5">
            <wp:extent cx="5715000" cy="3208020"/>
            <wp:effectExtent l="0" t="0" r="0" b="0"/>
            <wp:docPr id="45" name="Imagem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000" cy="3208020"/>
                    </a:xfrm>
                    <a:prstGeom prst="rect">
                      <a:avLst/>
                    </a:prstGeom>
                    <a:noFill/>
                    <a:ln>
                      <a:noFill/>
                    </a:ln>
                  </pic:spPr>
                </pic:pic>
              </a:graphicData>
            </a:graphic>
          </wp:inline>
        </w:drawing>
      </w:r>
      <w:r w:rsidRPr="008D4853">
        <w:rPr>
          <w:rFonts w:ascii="Arial" w:eastAsia="Times New Roman" w:hAnsi="Arial" w:cs="Arial"/>
          <w:sz w:val="20"/>
          <w:szCs w:val="20"/>
        </w:rPr>
        <w:br/>
      </w:r>
      <w:r w:rsidRPr="008D4853">
        <w:rPr>
          <w:rFonts w:ascii="Arial" w:hAnsi="Arial" w:cs="Arial"/>
          <w:noProof/>
          <w:sz w:val="20"/>
          <w:szCs w:val="20"/>
        </w:rPr>
        <w:drawing>
          <wp:inline distT="0" distB="0" distL="0" distR="0" wp14:anchorId="29667DF6" wp14:editId="5BFB0F1F">
            <wp:extent cx="5715000" cy="3208020"/>
            <wp:effectExtent l="0" t="0" r="0" b="0"/>
            <wp:docPr id="46" name="Imagem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0" cy="3208020"/>
                    </a:xfrm>
                    <a:prstGeom prst="rect">
                      <a:avLst/>
                    </a:prstGeom>
                    <a:noFill/>
                    <a:ln>
                      <a:noFill/>
                    </a:ln>
                  </pic:spPr>
                </pic:pic>
              </a:graphicData>
            </a:graphic>
          </wp:inline>
        </w:drawing>
      </w:r>
    </w:p>
    <w:sectPr w:rsidR="00FC35B8" w:rsidRPr="00706E3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26A36"/>
    <w:multiLevelType w:val="multilevel"/>
    <w:tmpl w:val="DD8007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101385"/>
    <w:multiLevelType w:val="multilevel"/>
    <w:tmpl w:val="3424D7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826C21"/>
    <w:multiLevelType w:val="multilevel"/>
    <w:tmpl w:val="D35CFB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64F59B7"/>
    <w:multiLevelType w:val="multilevel"/>
    <w:tmpl w:val="03203F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663A95"/>
    <w:multiLevelType w:val="multilevel"/>
    <w:tmpl w:val="43C079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C510DDA"/>
    <w:multiLevelType w:val="multilevel"/>
    <w:tmpl w:val="3DD6A2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C84165E"/>
    <w:multiLevelType w:val="multilevel"/>
    <w:tmpl w:val="B3E84E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26545C6"/>
    <w:multiLevelType w:val="multilevel"/>
    <w:tmpl w:val="057A7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84F1402"/>
    <w:multiLevelType w:val="multilevel"/>
    <w:tmpl w:val="9C62C1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D2E7620"/>
    <w:multiLevelType w:val="multilevel"/>
    <w:tmpl w:val="1688B8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1504FE3"/>
    <w:multiLevelType w:val="multilevel"/>
    <w:tmpl w:val="F01E2D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1906F63"/>
    <w:multiLevelType w:val="multilevel"/>
    <w:tmpl w:val="126299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7444BA4"/>
    <w:multiLevelType w:val="multilevel"/>
    <w:tmpl w:val="3DB22F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48669306">
    <w:abstractNumId w:val="0"/>
  </w:num>
  <w:num w:numId="2" w16cid:durableId="770324313">
    <w:abstractNumId w:val="1"/>
  </w:num>
  <w:num w:numId="3" w16cid:durableId="1787381973">
    <w:abstractNumId w:val="12"/>
  </w:num>
  <w:num w:numId="4" w16cid:durableId="1140810425">
    <w:abstractNumId w:val="10"/>
  </w:num>
  <w:num w:numId="5" w16cid:durableId="1180126137">
    <w:abstractNumId w:val="4"/>
  </w:num>
  <w:num w:numId="6" w16cid:durableId="2018262344">
    <w:abstractNumId w:val="3"/>
  </w:num>
  <w:num w:numId="7" w16cid:durableId="662007213">
    <w:abstractNumId w:val="9"/>
  </w:num>
  <w:num w:numId="8" w16cid:durableId="1755978351">
    <w:abstractNumId w:val="11"/>
  </w:num>
  <w:num w:numId="9" w16cid:durableId="431822853">
    <w:abstractNumId w:val="6"/>
  </w:num>
  <w:num w:numId="10" w16cid:durableId="48500991">
    <w:abstractNumId w:val="5"/>
  </w:num>
  <w:num w:numId="11" w16cid:durableId="850219951">
    <w:abstractNumId w:val="8"/>
  </w:num>
  <w:num w:numId="12" w16cid:durableId="1913926732">
    <w:abstractNumId w:val="7"/>
  </w:num>
  <w:num w:numId="13" w16cid:durableId="14560211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711"/>
    <w:rsid w:val="00035449"/>
    <w:rsid w:val="000D1133"/>
    <w:rsid w:val="001307CB"/>
    <w:rsid w:val="001327B4"/>
    <w:rsid w:val="001570B0"/>
    <w:rsid w:val="001B6790"/>
    <w:rsid w:val="001C61FC"/>
    <w:rsid w:val="00225892"/>
    <w:rsid w:val="0026086F"/>
    <w:rsid w:val="00272821"/>
    <w:rsid w:val="00273284"/>
    <w:rsid w:val="002938F9"/>
    <w:rsid w:val="002B76FE"/>
    <w:rsid w:val="003E41BB"/>
    <w:rsid w:val="00416AB4"/>
    <w:rsid w:val="00417AFD"/>
    <w:rsid w:val="004277A8"/>
    <w:rsid w:val="00464E40"/>
    <w:rsid w:val="004723E7"/>
    <w:rsid w:val="004A4738"/>
    <w:rsid w:val="0051787D"/>
    <w:rsid w:val="00533E41"/>
    <w:rsid w:val="005F6218"/>
    <w:rsid w:val="0061254B"/>
    <w:rsid w:val="00630D4C"/>
    <w:rsid w:val="00640925"/>
    <w:rsid w:val="00670F9D"/>
    <w:rsid w:val="00674711"/>
    <w:rsid w:val="006C4C08"/>
    <w:rsid w:val="00706E37"/>
    <w:rsid w:val="007B4A70"/>
    <w:rsid w:val="007D47C6"/>
    <w:rsid w:val="008008E2"/>
    <w:rsid w:val="00801562"/>
    <w:rsid w:val="00857D77"/>
    <w:rsid w:val="00991A4E"/>
    <w:rsid w:val="00A13F42"/>
    <w:rsid w:val="00AC2930"/>
    <w:rsid w:val="00B0235C"/>
    <w:rsid w:val="00B82B6F"/>
    <w:rsid w:val="00B84238"/>
    <w:rsid w:val="00B90F58"/>
    <w:rsid w:val="00BA12BB"/>
    <w:rsid w:val="00BB1DFA"/>
    <w:rsid w:val="00C21AAC"/>
    <w:rsid w:val="00C9470A"/>
    <w:rsid w:val="00C9498A"/>
    <w:rsid w:val="00CA291A"/>
    <w:rsid w:val="00CA641B"/>
    <w:rsid w:val="00DC169D"/>
    <w:rsid w:val="00DC6FAA"/>
    <w:rsid w:val="00E12DEE"/>
    <w:rsid w:val="00E243FA"/>
    <w:rsid w:val="00E95347"/>
    <w:rsid w:val="00EB4799"/>
    <w:rsid w:val="00EC1DCB"/>
    <w:rsid w:val="00ED0C35"/>
    <w:rsid w:val="00ED5DDA"/>
    <w:rsid w:val="00FA7C63"/>
    <w:rsid w:val="00FC35B8"/>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7DAB8"/>
  <w15:chartTrackingRefBased/>
  <w15:docId w15:val="{76A79111-DD88-4EC4-9429-17E65B513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t-P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4711"/>
    <w:pPr>
      <w:spacing w:after="0" w:line="240" w:lineRule="auto"/>
    </w:pPr>
    <w:rPr>
      <w:rFonts w:ascii="Times New Roman" w:eastAsiaTheme="minorEastAsia" w:hAnsi="Times New Roman" w:cs="Times New Roman"/>
      <w:kern w:val="0"/>
      <w:sz w:val="24"/>
      <w:szCs w:val="24"/>
      <w:lang w:eastAsia="pt-PT"/>
      <w14:ligatures w14:val="none"/>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674711"/>
    <w:pPr>
      <w:spacing w:before="100" w:beforeAutospacing="1" w:after="100" w:afterAutospacing="1"/>
    </w:pPr>
  </w:style>
  <w:style w:type="character" w:styleId="Forte">
    <w:name w:val="Strong"/>
    <w:basedOn w:val="Tipodeletrapredefinidodopargrafo"/>
    <w:uiPriority w:val="22"/>
    <w:qFormat/>
    <w:rsid w:val="00674711"/>
    <w:rPr>
      <w:b/>
      <w:bCs/>
    </w:rPr>
  </w:style>
  <w:style w:type="character" w:styleId="nfase">
    <w:name w:val="Emphasis"/>
    <w:basedOn w:val="Tipodeletrapredefinidodopargrafo"/>
    <w:uiPriority w:val="20"/>
    <w:qFormat/>
    <w:rsid w:val="00674711"/>
    <w:rPr>
      <w:i/>
      <w:iCs/>
    </w:rPr>
  </w:style>
  <w:style w:type="character" w:styleId="Hiperligao">
    <w:name w:val="Hyperlink"/>
    <w:basedOn w:val="Tipodeletrapredefinidodopargrafo"/>
    <w:uiPriority w:val="99"/>
    <w:semiHidden/>
    <w:unhideWhenUsed/>
    <w:rsid w:val="00C21AAC"/>
    <w:rPr>
      <w:color w:val="0000FF"/>
      <w:u w:val="single"/>
    </w:rPr>
  </w:style>
  <w:style w:type="paragraph" w:customStyle="1" w:styleId="msonormal0">
    <w:name w:val="msonormal"/>
    <w:basedOn w:val="Normal"/>
    <w:rsid w:val="00ED5DD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26749F-1EAE-4BAB-A7C1-782B1699A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497</Words>
  <Characters>2688</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Raquel Ferreira</dc:creator>
  <cp:keywords/>
  <dc:description/>
  <cp:lastModifiedBy>Raquel Ferreira</cp:lastModifiedBy>
  <cp:revision>2</cp:revision>
  <dcterms:created xsi:type="dcterms:W3CDTF">2023-03-15T15:22:00Z</dcterms:created>
  <dcterms:modified xsi:type="dcterms:W3CDTF">2023-03-15T15:22:00Z</dcterms:modified>
</cp:coreProperties>
</file>