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24D0E" w14:textId="77777777" w:rsidR="00D37DFF" w:rsidRPr="008D4853" w:rsidRDefault="00D37DFF" w:rsidP="00D37DFF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Style w:val="Forte"/>
          <w:rFonts w:ascii="Arial" w:hAnsi="Arial" w:cs="Arial"/>
          <w:sz w:val="20"/>
          <w:szCs w:val="20"/>
        </w:rPr>
        <w:t>PO</w:t>
      </w:r>
      <w:r w:rsidRPr="008D4853">
        <w:rPr>
          <w:rStyle w:val="Forte"/>
          <w:rFonts w:ascii="Arial" w:hAnsi="Arial" w:cs="Arial"/>
          <w:sz w:val="20"/>
          <w:szCs w:val="20"/>
        </w:rPr>
        <w:t>40   VALOR DA MONITORIZAÇÃO DA OXIGENAÇÃO CEREBRAL POR NIRS NA DETEÇÃO DE ISQUEMIA GLOBAL</w:t>
      </w:r>
    </w:p>
    <w:p w14:paraId="28B309AC" w14:textId="77777777" w:rsidR="00D37DFF" w:rsidRPr="008D4853" w:rsidRDefault="00D37DFF" w:rsidP="00D37DFF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D4853">
        <w:rPr>
          <w:rStyle w:val="nfase"/>
          <w:rFonts w:ascii="Arial" w:hAnsi="Arial" w:cs="Arial"/>
          <w:sz w:val="20"/>
          <w:szCs w:val="20"/>
        </w:rPr>
        <w:t xml:space="preserve">Cristina Peixoto de </w:t>
      </w:r>
      <w:proofErr w:type="gramStart"/>
      <w:r w:rsidRPr="008D4853">
        <w:rPr>
          <w:rStyle w:val="nfase"/>
          <w:rFonts w:ascii="Arial" w:hAnsi="Arial" w:cs="Arial"/>
          <w:sz w:val="20"/>
          <w:szCs w:val="20"/>
        </w:rPr>
        <w:t>Sousa(</w:t>
      </w:r>
      <w:proofErr w:type="gramEnd"/>
      <w:r w:rsidRPr="008D4853">
        <w:rPr>
          <w:rStyle w:val="nfase"/>
          <w:rFonts w:ascii="Arial" w:hAnsi="Arial" w:cs="Arial"/>
          <w:sz w:val="20"/>
          <w:szCs w:val="20"/>
        </w:rPr>
        <w:t>1); João Tiago Silva(2); Pedro Amorim(2)</w:t>
      </w:r>
    </w:p>
    <w:p w14:paraId="7786E16D" w14:textId="77777777" w:rsidR="00D37DFF" w:rsidRPr="008D4853" w:rsidRDefault="00D37DFF" w:rsidP="00D37DFF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D4853">
        <w:rPr>
          <w:rStyle w:val="nfase"/>
          <w:rFonts w:ascii="Arial" w:hAnsi="Arial" w:cs="Arial"/>
          <w:sz w:val="20"/>
          <w:szCs w:val="20"/>
        </w:rPr>
        <w:t xml:space="preserve">(1) CHTMAD (2) CHUP </w:t>
      </w:r>
    </w:p>
    <w:p w14:paraId="0C82F98D" w14:textId="77777777" w:rsidR="00D37DFF" w:rsidRPr="008D4853" w:rsidRDefault="00D37DFF" w:rsidP="00D37DFF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D4853">
        <w:rPr>
          <w:rFonts w:ascii="Arial" w:hAnsi="Arial" w:cs="Arial"/>
          <w:sz w:val="20"/>
          <w:szCs w:val="20"/>
        </w:rPr>
        <w:t> </w:t>
      </w:r>
    </w:p>
    <w:p w14:paraId="17AC5FE1" w14:textId="77777777" w:rsidR="00D37DFF" w:rsidRPr="008D4853" w:rsidRDefault="00D37DFF" w:rsidP="00D37DFF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D4853">
        <w:rPr>
          <w:rFonts w:ascii="Arial" w:hAnsi="Arial" w:cs="Arial"/>
          <w:color w:val="000000"/>
          <w:sz w:val="20"/>
          <w:szCs w:val="20"/>
        </w:rPr>
        <w:t>Introdução</w:t>
      </w:r>
    </w:p>
    <w:p w14:paraId="4AE7036B" w14:textId="77777777" w:rsidR="00D37DFF" w:rsidRPr="008D4853" w:rsidRDefault="00D37DFF" w:rsidP="00D37DFF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D4853">
        <w:rPr>
          <w:rFonts w:ascii="Arial" w:hAnsi="Arial" w:cs="Arial"/>
          <w:color w:val="000000"/>
          <w:sz w:val="20"/>
          <w:szCs w:val="20"/>
        </w:rPr>
        <w:t>A assistolia durante cirurgia não cardíaca é um evento raro, mas potencialmente catastrófico, associado a mortalidade elevada</w:t>
      </w:r>
      <w:r w:rsidRPr="008D4853">
        <w:rPr>
          <w:rFonts w:ascii="Arial" w:hAnsi="Arial" w:cs="Arial"/>
          <w:color w:val="000000"/>
          <w:sz w:val="20"/>
          <w:szCs w:val="20"/>
          <w:vertAlign w:val="superscript"/>
        </w:rPr>
        <w:t>1.</w:t>
      </w:r>
      <w:r w:rsidRPr="008D4853">
        <w:rPr>
          <w:rFonts w:ascii="Arial" w:hAnsi="Arial" w:cs="Arial"/>
          <w:color w:val="000000"/>
          <w:sz w:val="20"/>
          <w:szCs w:val="20"/>
        </w:rPr>
        <w:t xml:space="preserve"> Reportamos um caso de assistolia durante cirurgia da coluna cervical, num doente com monitorização da oxigenação cerebral, documentando a sua importância numa utilização que não corresponde às indicações atuais para o seu uso.</w:t>
      </w:r>
    </w:p>
    <w:p w14:paraId="1B7B010E" w14:textId="77777777" w:rsidR="00D37DFF" w:rsidRPr="008D4853" w:rsidRDefault="00D37DFF" w:rsidP="00D37DFF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D4853">
        <w:rPr>
          <w:rFonts w:ascii="Arial" w:hAnsi="Arial" w:cs="Arial"/>
          <w:sz w:val="20"/>
          <w:szCs w:val="20"/>
        </w:rPr>
        <w:t> </w:t>
      </w:r>
    </w:p>
    <w:p w14:paraId="58E4401D" w14:textId="77777777" w:rsidR="00D37DFF" w:rsidRPr="008D4853" w:rsidRDefault="00D37DFF" w:rsidP="00D37DFF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D4853">
        <w:rPr>
          <w:rFonts w:ascii="Arial" w:hAnsi="Arial" w:cs="Arial"/>
          <w:color w:val="000000"/>
          <w:sz w:val="20"/>
          <w:szCs w:val="20"/>
        </w:rPr>
        <w:t>Caso clínico</w:t>
      </w:r>
    </w:p>
    <w:p w14:paraId="477C840F" w14:textId="77777777" w:rsidR="00D37DFF" w:rsidRPr="008D4853" w:rsidRDefault="00D37DFF" w:rsidP="00D37DFF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D4853">
        <w:rPr>
          <w:rFonts w:ascii="Arial" w:hAnsi="Arial" w:cs="Arial"/>
          <w:color w:val="000000"/>
          <w:sz w:val="20"/>
          <w:szCs w:val="20"/>
        </w:rPr>
        <w:t>Homem de 65 anos, com mielopatia cervical, submetido a cirurgia de descompressão por via anterior a nível de C5-C6. ASA II por hipertensão arterial, dislipidemia e diabetes tipo 2.</w:t>
      </w:r>
    </w:p>
    <w:p w14:paraId="0EE30007" w14:textId="77777777" w:rsidR="00D37DFF" w:rsidRPr="008D4853" w:rsidRDefault="00D37DFF" w:rsidP="00D37DFF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D4853">
        <w:rPr>
          <w:rFonts w:ascii="Arial" w:hAnsi="Arial" w:cs="Arial"/>
          <w:color w:val="000000"/>
          <w:sz w:val="20"/>
          <w:szCs w:val="20"/>
        </w:rPr>
        <w:t xml:space="preserve">Foi submetido a uma anestesia total intravenosa por TCI (propofol e </w:t>
      </w:r>
      <w:proofErr w:type="spellStart"/>
      <w:r w:rsidRPr="008D4853">
        <w:rPr>
          <w:rFonts w:ascii="Arial" w:hAnsi="Arial" w:cs="Arial"/>
          <w:color w:val="000000"/>
          <w:sz w:val="20"/>
          <w:szCs w:val="20"/>
        </w:rPr>
        <w:t>remifentanil</w:t>
      </w:r>
      <w:proofErr w:type="spellEnd"/>
      <w:r w:rsidRPr="008D4853">
        <w:rPr>
          <w:rFonts w:ascii="Arial" w:hAnsi="Arial" w:cs="Arial"/>
          <w:color w:val="000000"/>
          <w:sz w:val="20"/>
          <w:szCs w:val="20"/>
        </w:rPr>
        <w:t xml:space="preserve">) e perfusão de </w:t>
      </w:r>
      <w:proofErr w:type="spellStart"/>
      <w:r w:rsidRPr="008D4853">
        <w:rPr>
          <w:rFonts w:ascii="Arial" w:hAnsi="Arial" w:cs="Arial"/>
          <w:color w:val="000000"/>
          <w:sz w:val="20"/>
          <w:szCs w:val="20"/>
        </w:rPr>
        <w:t>rocurónio</w:t>
      </w:r>
      <w:proofErr w:type="spellEnd"/>
      <w:r w:rsidRPr="008D4853">
        <w:rPr>
          <w:rFonts w:ascii="Arial" w:hAnsi="Arial" w:cs="Arial"/>
          <w:color w:val="000000"/>
          <w:sz w:val="20"/>
          <w:szCs w:val="20"/>
        </w:rPr>
        <w:t xml:space="preserve"> para BNM profundo. A monitorização, além da standard da ASA com TA não invasiva a cada minuto, incluiu rSO2 cerebral (INVOS), EEG processado (BIS), BNM com </w:t>
      </w:r>
      <w:proofErr w:type="spellStart"/>
      <w:r w:rsidRPr="008D4853">
        <w:rPr>
          <w:rFonts w:ascii="Arial" w:hAnsi="Arial" w:cs="Arial"/>
          <w:color w:val="000000"/>
          <w:sz w:val="20"/>
          <w:szCs w:val="20"/>
        </w:rPr>
        <w:t>PTCs</w:t>
      </w:r>
      <w:proofErr w:type="spellEnd"/>
      <w:r w:rsidRPr="008D4853">
        <w:rPr>
          <w:rFonts w:ascii="Arial" w:hAnsi="Arial" w:cs="Arial"/>
          <w:color w:val="000000"/>
          <w:sz w:val="20"/>
          <w:szCs w:val="20"/>
        </w:rPr>
        <w:t xml:space="preserve"> a cada 5 minutos e ainda </w:t>
      </w:r>
      <w:proofErr w:type="spellStart"/>
      <w:r w:rsidRPr="008D4853">
        <w:rPr>
          <w:rFonts w:ascii="Arial" w:hAnsi="Arial" w:cs="Arial"/>
          <w:color w:val="000000"/>
          <w:sz w:val="20"/>
          <w:szCs w:val="20"/>
        </w:rPr>
        <w:t>pupilometria</w:t>
      </w:r>
      <w:proofErr w:type="spellEnd"/>
      <w:r w:rsidRPr="008D4853">
        <w:rPr>
          <w:rFonts w:ascii="Arial" w:hAnsi="Arial" w:cs="Arial"/>
          <w:color w:val="000000"/>
          <w:sz w:val="20"/>
          <w:szCs w:val="20"/>
        </w:rPr>
        <w:t xml:space="preserve"> (</w:t>
      </w:r>
      <w:proofErr w:type="spellStart"/>
      <w:r w:rsidRPr="008D4853">
        <w:rPr>
          <w:rFonts w:ascii="Arial" w:hAnsi="Arial" w:cs="Arial"/>
          <w:color w:val="000000"/>
          <w:sz w:val="20"/>
          <w:szCs w:val="20"/>
        </w:rPr>
        <w:t>Algiscan</w:t>
      </w:r>
      <w:proofErr w:type="spellEnd"/>
      <w:r w:rsidRPr="008D4853">
        <w:rPr>
          <w:rFonts w:ascii="Arial" w:hAnsi="Arial" w:cs="Arial"/>
          <w:color w:val="000000"/>
          <w:sz w:val="20"/>
          <w:szCs w:val="20"/>
        </w:rPr>
        <w:t xml:space="preserve">) e variabilidade R-R (ANI) para avaliar </w:t>
      </w:r>
      <w:proofErr w:type="spellStart"/>
      <w:r w:rsidRPr="008D4853">
        <w:rPr>
          <w:rFonts w:ascii="Arial" w:hAnsi="Arial" w:cs="Arial"/>
          <w:color w:val="000000"/>
          <w:sz w:val="20"/>
          <w:szCs w:val="20"/>
        </w:rPr>
        <w:t>nocicepção</w:t>
      </w:r>
      <w:proofErr w:type="spellEnd"/>
      <w:r w:rsidRPr="008D4853">
        <w:rPr>
          <w:rFonts w:ascii="Arial" w:hAnsi="Arial" w:cs="Arial"/>
          <w:color w:val="000000"/>
          <w:sz w:val="20"/>
          <w:szCs w:val="20"/>
        </w:rPr>
        <w:t>/analgesia. Aos 20 minutos de cirurgia, na dissecção com uso de afastadores cirúrgicos e retração dos tecidos, ocorreram subitamente dois períodos de assistolia ventricular de 10 segundos cada, precedidos e seguidos de ondas P sem QRS, perda de onda de pletismografia, pressão arterial não mensurável e queda do EtCO2 e rSO2 (</w:t>
      </w:r>
      <w:proofErr w:type="spellStart"/>
      <w:r w:rsidRPr="008D4853">
        <w:rPr>
          <w:rFonts w:ascii="Arial" w:hAnsi="Arial" w:cs="Arial"/>
          <w:color w:val="000000"/>
          <w:sz w:val="20"/>
          <w:szCs w:val="20"/>
        </w:rPr>
        <w:t>Fig</w:t>
      </w:r>
      <w:proofErr w:type="spellEnd"/>
      <w:r w:rsidRPr="008D4853">
        <w:rPr>
          <w:rFonts w:ascii="Arial" w:hAnsi="Arial" w:cs="Arial"/>
          <w:color w:val="000000"/>
          <w:sz w:val="20"/>
          <w:szCs w:val="20"/>
        </w:rPr>
        <w:t xml:space="preserve"> 1). Após cada um desses episódios, sucedeu-se uma bradicardia severa &lt;35bpm. Os cirurgiões foram imediatamente alertados e os afastadores foram retirados logo após o segundo período de assistolia. A FiO2 foi aumentada para 100% e foram administrados 2 </w:t>
      </w:r>
      <w:proofErr w:type="spellStart"/>
      <w:r w:rsidRPr="008D4853">
        <w:rPr>
          <w:rFonts w:ascii="Arial" w:hAnsi="Arial" w:cs="Arial"/>
          <w:color w:val="000000"/>
          <w:sz w:val="20"/>
          <w:szCs w:val="20"/>
        </w:rPr>
        <w:t>bólus</w:t>
      </w:r>
      <w:proofErr w:type="spellEnd"/>
      <w:r w:rsidRPr="008D4853">
        <w:rPr>
          <w:rFonts w:ascii="Arial" w:hAnsi="Arial" w:cs="Arial"/>
          <w:color w:val="000000"/>
          <w:sz w:val="20"/>
          <w:szCs w:val="20"/>
        </w:rPr>
        <w:t xml:space="preserve"> EV de atropina de 0,5mg cada. Ao fim de 2 minutos o ECG era </w:t>
      </w:r>
      <w:proofErr w:type="spellStart"/>
      <w:r w:rsidRPr="008D4853">
        <w:rPr>
          <w:rFonts w:ascii="Arial" w:hAnsi="Arial" w:cs="Arial"/>
          <w:color w:val="000000"/>
          <w:sz w:val="20"/>
          <w:szCs w:val="20"/>
        </w:rPr>
        <w:t>sinusal</w:t>
      </w:r>
      <w:proofErr w:type="spellEnd"/>
      <w:r w:rsidRPr="008D4853">
        <w:rPr>
          <w:rFonts w:ascii="Arial" w:hAnsi="Arial" w:cs="Arial"/>
          <w:color w:val="000000"/>
          <w:sz w:val="20"/>
          <w:szCs w:val="20"/>
        </w:rPr>
        <w:t xml:space="preserve"> com uma frequência de 67 </w:t>
      </w:r>
      <w:proofErr w:type="spellStart"/>
      <w:r w:rsidRPr="008D4853">
        <w:rPr>
          <w:rFonts w:ascii="Arial" w:hAnsi="Arial" w:cs="Arial"/>
          <w:color w:val="000000"/>
          <w:sz w:val="20"/>
          <w:szCs w:val="20"/>
        </w:rPr>
        <w:t>bpm</w:t>
      </w:r>
      <w:proofErr w:type="spellEnd"/>
      <w:r w:rsidRPr="008D4853">
        <w:rPr>
          <w:rFonts w:ascii="Arial" w:hAnsi="Arial" w:cs="Arial"/>
          <w:color w:val="000000"/>
          <w:sz w:val="20"/>
          <w:szCs w:val="20"/>
        </w:rPr>
        <w:t xml:space="preserve"> e SpO2, TA, ETCO2 e rSO2 cerebral voltaram aos valores pré evento, sem necessidade de qualquer outra intervenção. A cirurgia prosseguiu sem mais intercorrências, sendo o doente </w:t>
      </w:r>
      <w:proofErr w:type="spellStart"/>
      <w:r w:rsidRPr="008D4853">
        <w:rPr>
          <w:rFonts w:ascii="Arial" w:hAnsi="Arial" w:cs="Arial"/>
          <w:color w:val="000000"/>
          <w:sz w:val="20"/>
          <w:szCs w:val="20"/>
        </w:rPr>
        <w:t>extubado</w:t>
      </w:r>
      <w:proofErr w:type="spellEnd"/>
      <w:r w:rsidRPr="008D4853">
        <w:rPr>
          <w:rFonts w:ascii="Arial" w:hAnsi="Arial" w:cs="Arial"/>
          <w:color w:val="000000"/>
          <w:sz w:val="20"/>
          <w:szCs w:val="20"/>
        </w:rPr>
        <w:t xml:space="preserve"> no fim da cirurgia, despertando sem qualquer sequela. O doente foi posteriormente referenciado à especialidade de cardiologia.</w:t>
      </w:r>
    </w:p>
    <w:p w14:paraId="3584D872" w14:textId="77777777" w:rsidR="00D37DFF" w:rsidRPr="008D4853" w:rsidRDefault="00D37DFF" w:rsidP="00D37DFF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D4853">
        <w:rPr>
          <w:rFonts w:ascii="Arial" w:hAnsi="Arial" w:cs="Arial"/>
          <w:sz w:val="20"/>
          <w:szCs w:val="20"/>
        </w:rPr>
        <w:t> </w:t>
      </w:r>
    </w:p>
    <w:p w14:paraId="44706754" w14:textId="77777777" w:rsidR="00D37DFF" w:rsidRPr="008D4853" w:rsidRDefault="00D37DFF" w:rsidP="00D37DFF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D4853">
        <w:rPr>
          <w:rFonts w:ascii="Arial" w:hAnsi="Arial" w:cs="Arial"/>
          <w:color w:val="000000"/>
          <w:sz w:val="20"/>
          <w:szCs w:val="20"/>
        </w:rPr>
        <w:t>Discussão</w:t>
      </w:r>
    </w:p>
    <w:p w14:paraId="2738DA28" w14:textId="77777777" w:rsidR="00D37DFF" w:rsidRPr="008D4853" w:rsidRDefault="00D37DFF" w:rsidP="00D37DFF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D4853">
        <w:rPr>
          <w:rFonts w:ascii="Arial" w:hAnsi="Arial" w:cs="Arial"/>
          <w:color w:val="000000"/>
          <w:sz w:val="20"/>
          <w:szCs w:val="20"/>
        </w:rPr>
        <w:t>A assistolia durante cirurgia cervical é um evento raro, com apenas alguns casos clínicos descritos na literatura</w:t>
      </w:r>
      <w:r w:rsidRPr="008D4853"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 w:rsidRPr="008D4853">
        <w:rPr>
          <w:rFonts w:ascii="Arial" w:hAnsi="Arial" w:cs="Arial"/>
          <w:color w:val="000000"/>
          <w:sz w:val="20"/>
          <w:szCs w:val="20"/>
        </w:rPr>
        <w:t xml:space="preserve">. </w:t>
      </w:r>
      <w:r w:rsidRPr="008D4853">
        <w:rPr>
          <w:rFonts w:ascii="Arial" w:hAnsi="Arial" w:cs="Arial"/>
          <w:color w:val="202124"/>
          <w:sz w:val="20"/>
          <w:szCs w:val="20"/>
        </w:rPr>
        <w:t xml:space="preserve">Pensamos que a bradicardia e assistolia foram devidas a um reflexo </w:t>
      </w:r>
      <w:proofErr w:type="spellStart"/>
      <w:r w:rsidRPr="008D4853">
        <w:rPr>
          <w:rFonts w:ascii="Arial" w:hAnsi="Arial" w:cs="Arial"/>
          <w:color w:val="202124"/>
          <w:sz w:val="20"/>
          <w:szCs w:val="20"/>
        </w:rPr>
        <w:t>vagal</w:t>
      </w:r>
      <w:proofErr w:type="spellEnd"/>
      <w:r w:rsidRPr="008D4853">
        <w:rPr>
          <w:rFonts w:ascii="Arial" w:hAnsi="Arial" w:cs="Arial"/>
          <w:color w:val="202124"/>
          <w:sz w:val="20"/>
          <w:szCs w:val="20"/>
        </w:rPr>
        <w:t xml:space="preserve"> causado pela retração com os afastadores cirúrgicos. A pronta identificação da assistolia, administração de atropina e a libertação da retração cirúrgica resultaram no retorno do débito cardíaco. Este caso, que pudemos documentar, ilustra as graves consequências de um período ainda que curto e súbito de assistolia, nomeadamente quanto à imediata e acentuada diminuição da oxigenação cerebral. A monitorização da oxigenação cerebral é de grande utilidade e provavelmente as atuais indicações para o seu uso, limitadas quase à cirurgia cardíaca e das carótidas, com sensores bilaterais para deteção de isquemia focal, virá a ser revista, dada a sua utilidade, mesmo que só com um sensor, para permitir avaliar reduções globais da oxigenação cerebral. </w:t>
      </w:r>
    </w:p>
    <w:p w14:paraId="4B1605CD" w14:textId="77777777" w:rsidR="00D37DFF" w:rsidRPr="008D4853" w:rsidRDefault="00D37DFF" w:rsidP="00D37DFF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D4853">
        <w:rPr>
          <w:rFonts w:ascii="Arial" w:hAnsi="Arial" w:cs="Arial"/>
          <w:sz w:val="20"/>
          <w:szCs w:val="20"/>
        </w:rPr>
        <w:t> </w:t>
      </w:r>
    </w:p>
    <w:p w14:paraId="26E95813" w14:textId="77777777" w:rsidR="00D37DFF" w:rsidRPr="008D4853" w:rsidRDefault="00D37DFF" w:rsidP="00D37DFF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D4853">
        <w:rPr>
          <w:rFonts w:ascii="Arial" w:hAnsi="Arial" w:cs="Arial"/>
          <w:sz w:val="20"/>
          <w:szCs w:val="20"/>
        </w:rPr>
        <w:t> </w:t>
      </w:r>
    </w:p>
    <w:p w14:paraId="60E49922" w14:textId="77777777" w:rsidR="00D37DFF" w:rsidRPr="008D4853" w:rsidRDefault="00D37DFF" w:rsidP="00D37DFF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D4853">
        <w:rPr>
          <w:rFonts w:ascii="Arial" w:hAnsi="Arial" w:cs="Arial"/>
          <w:color w:val="000000"/>
          <w:sz w:val="20"/>
          <w:szCs w:val="20"/>
        </w:rPr>
        <w:t xml:space="preserve">Referências: </w:t>
      </w:r>
    </w:p>
    <w:p w14:paraId="3CD38B16" w14:textId="77777777" w:rsidR="00D37DFF" w:rsidRPr="008D4853" w:rsidRDefault="00D37DFF" w:rsidP="00D37DFF">
      <w:pPr>
        <w:numPr>
          <w:ilvl w:val="0"/>
          <w:numId w:val="14"/>
        </w:numPr>
        <w:rPr>
          <w:rFonts w:ascii="Arial" w:eastAsia="Times New Roman" w:hAnsi="Arial" w:cs="Arial"/>
          <w:sz w:val="20"/>
          <w:szCs w:val="20"/>
        </w:rPr>
      </w:pPr>
      <w:proofErr w:type="spellStart"/>
      <w:r w:rsidRPr="008D4853">
        <w:rPr>
          <w:rFonts w:ascii="Arial" w:eastAsia="Times New Roman" w:hAnsi="Arial" w:cs="Arial"/>
          <w:color w:val="383636"/>
          <w:sz w:val="20"/>
          <w:szCs w:val="20"/>
        </w:rPr>
        <w:t>Anesthesiology</w:t>
      </w:r>
      <w:proofErr w:type="spellEnd"/>
      <w:r w:rsidRPr="008D4853">
        <w:rPr>
          <w:rFonts w:ascii="Arial" w:eastAsia="Times New Roman" w:hAnsi="Arial" w:cs="Arial"/>
          <w:color w:val="383636"/>
          <w:sz w:val="20"/>
          <w:szCs w:val="20"/>
          <w:shd w:val="clear" w:color="auto" w:fill="FFFFFF"/>
        </w:rPr>
        <w:t xml:space="preserve"> 2012; 117:1018–1026. </w:t>
      </w:r>
    </w:p>
    <w:p w14:paraId="1A8BADC0" w14:textId="77777777" w:rsidR="00D37DFF" w:rsidRPr="008D4853" w:rsidRDefault="00D37DFF" w:rsidP="00D37DFF">
      <w:pPr>
        <w:numPr>
          <w:ilvl w:val="0"/>
          <w:numId w:val="14"/>
        </w:numPr>
        <w:rPr>
          <w:rFonts w:ascii="Arial" w:eastAsia="Times New Roman" w:hAnsi="Arial" w:cs="Arial"/>
          <w:sz w:val="20"/>
          <w:szCs w:val="20"/>
        </w:rPr>
      </w:pPr>
      <w:proofErr w:type="spellStart"/>
      <w:r w:rsidRPr="008D4853">
        <w:rPr>
          <w:rFonts w:ascii="Arial" w:eastAsia="Times New Roman" w:hAnsi="Arial" w:cs="Arial"/>
          <w:color w:val="383636"/>
          <w:sz w:val="20"/>
          <w:szCs w:val="20"/>
        </w:rPr>
        <w:t>Clin</w:t>
      </w:r>
      <w:proofErr w:type="spellEnd"/>
      <w:r w:rsidRPr="008D4853">
        <w:rPr>
          <w:rFonts w:ascii="Arial" w:eastAsia="Times New Roman" w:hAnsi="Arial" w:cs="Arial"/>
          <w:color w:val="383636"/>
          <w:sz w:val="20"/>
          <w:szCs w:val="20"/>
        </w:rPr>
        <w:t xml:space="preserve"> </w:t>
      </w:r>
      <w:proofErr w:type="spellStart"/>
      <w:r w:rsidRPr="008D4853">
        <w:rPr>
          <w:rFonts w:ascii="Arial" w:eastAsia="Times New Roman" w:hAnsi="Arial" w:cs="Arial"/>
          <w:color w:val="383636"/>
          <w:sz w:val="20"/>
          <w:szCs w:val="20"/>
        </w:rPr>
        <w:t>Neurol</w:t>
      </w:r>
      <w:proofErr w:type="spellEnd"/>
      <w:r w:rsidRPr="008D4853">
        <w:rPr>
          <w:rFonts w:ascii="Arial" w:eastAsia="Times New Roman" w:hAnsi="Arial" w:cs="Arial"/>
          <w:color w:val="383636"/>
          <w:sz w:val="20"/>
          <w:szCs w:val="20"/>
        </w:rPr>
        <w:t xml:space="preserve"> </w:t>
      </w:r>
      <w:proofErr w:type="spellStart"/>
      <w:r w:rsidRPr="008D4853">
        <w:rPr>
          <w:rFonts w:ascii="Arial" w:eastAsia="Times New Roman" w:hAnsi="Arial" w:cs="Arial"/>
          <w:color w:val="383636"/>
          <w:sz w:val="20"/>
          <w:szCs w:val="20"/>
        </w:rPr>
        <w:t>Neurosurg</w:t>
      </w:r>
      <w:proofErr w:type="spellEnd"/>
      <w:r w:rsidRPr="008D4853">
        <w:rPr>
          <w:rFonts w:ascii="Arial" w:eastAsia="Times New Roman" w:hAnsi="Arial" w:cs="Arial"/>
          <w:color w:val="383636"/>
          <w:sz w:val="20"/>
          <w:szCs w:val="20"/>
        </w:rPr>
        <w:t xml:space="preserve"> 2017; 161:6-13</w:t>
      </w:r>
    </w:p>
    <w:p w14:paraId="407E3CEF" w14:textId="4D1CBBDD" w:rsidR="00FC35B8" w:rsidRPr="00706E37" w:rsidRDefault="00D37DFF" w:rsidP="00D37DFF">
      <w:pPr>
        <w:rPr>
          <w:rFonts w:ascii="Arial" w:eastAsia="Times New Roman" w:hAnsi="Arial" w:cs="Arial"/>
          <w:sz w:val="20"/>
          <w:szCs w:val="20"/>
        </w:rPr>
      </w:pPr>
      <w:r w:rsidRPr="008D4853">
        <w:rPr>
          <w:rFonts w:ascii="Arial" w:eastAsia="Times New Roman" w:hAnsi="Arial" w:cs="Arial"/>
          <w:sz w:val="20"/>
          <w:szCs w:val="20"/>
        </w:rPr>
        <w:br/>
      </w:r>
      <w:r w:rsidRPr="008D4853">
        <w:rPr>
          <w:rFonts w:ascii="Arial" w:eastAsia="Times New Roman" w:hAnsi="Arial" w:cs="Arial"/>
          <w:sz w:val="20"/>
          <w:szCs w:val="20"/>
        </w:rPr>
        <w:br/>
      </w:r>
      <w:r w:rsidRPr="008D4853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3B623E3" wp14:editId="0D8BB082">
            <wp:extent cx="5715000" cy="4290060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853">
        <w:rPr>
          <w:rFonts w:ascii="Arial" w:eastAsia="Times New Roman" w:hAnsi="Arial" w:cs="Arial"/>
          <w:sz w:val="20"/>
          <w:szCs w:val="20"/>
        </w:rPr>
        <w:br/>
      </w:r>
      <w:r w:rsidRPr="008D4853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2FF1410" wp14:editId="4EB1836D">
            <wp:extent cx="5715000" cy="7680960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853">
        <w:rPr>
          <w:rFonts w:ascii="Arial" w:eastAsia="Times New Roman" w:hAnsi="Arial" w:cs="Arial"/>
          <w:sz w:val="20"/>
          <w:szCs w:val="20"/>
        </w:rPr>
        <w:br/>
      </w:r>
      <w:hyperlink r:id="rId8" w:history="1">
        <w:r w:rsidRPr="008D4853">
          <w:rPr>
            <w:rStyle w:val="Hiperligao"/>
            <w:rFonts w:ascii="Arial" w:eastAsia="Times New Roman" w:hAnsi="Arial" w:cs="Arial"/>
            <w:sz w:val="20"/>
            <w:szCs w:val="20"/>
          </w:rPr>
          <w:t>Consentimento Informado.pdf</w:t>
        </w:r>
      </w:hyperlink>
      <w:r w:rsidRPr="008D4853">
        <w:rPr>
          <w:rFonts w:ascii="Arial" w:eastAsia="Times New Roman" w:hAnsi="Arial" w:cs="Arial"/>
          <w:sz w:val="20"/>
          <w:szCs w:val="20"/>
        </w:rPr>
        <w:br/>
      </w:r>
      <w:r w:rsidRPr="008D4853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B0BCFBB" wp14:editId="5F2CF852">
            <wp:extent cx="5715000" cy="4290060"/>
            <wp:effectExtent l="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35B8" w:rsidRPr="00706E3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26A36"/>
    <w:multiLevelType w:val="multilevel"/>
    <w:tmpl w:val="DD800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101385"/>
    <w:multiLevelType w:val="multilevel"/>
    <w:tmpl w:val="3424D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826C21"/>
    <w:multiLevelType w:val="multilevel"/>
    <w:tmpl w:val="D35CF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8A4499"/>
    <w:multiLevelType w:val="multilevel"/>
    <w:tmpl w:val="A2C01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4F59B7"/>
    <w:multiLevelType w:val="multilevel"/>
    <w:tmpl w:val="03203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663A95"/>
    <w:multiLevelType w:val="multilevel"/>
    <w:tmpl w:val="43C07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C510DDA"/>
    <w:multiLevelType w:val="multilevel"/>
    <w:tmpl w:val="3DD6A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C84165E"/>
    <w:multiLevelType w:val="multilevel"/>
    <w:tmpl w:val="B3E84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26545C6"/>
    <w:multiLevelType w:val="multilevel"/>
    <w:tmpl w:val="057A7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4F1402"/>
    <w:multiLevelType w:val="multilevel"/>
    <w:tmpl w:val="9C62C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D2E7620"/>
    <w:multiLevelType w:val="multilevel"/>
    <w:tmpl w:val="1688B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1504FE3"/>
    <w:multiLevelType w:val="multilevel"/>
    <w:tmpl w:val="F01E2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1906F63"/>
    <w:multiLevelType w:val="multilevel"/>
    <w:tmpl w:val="12629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7444BA4"/>
    <w:multiLevelType w:val="multilevel"/>
    <w:tmpl w:val="3DB22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48669306">
    <w:abstractNumId w:val="0"/>
  </w:num>
  <w:num w:numId="2" w16cid:durableId="770324313">
    <w:abstractNumId w:val="1"/>
  </w:num>
  <w:num w:numId="3" w16cid:durableId="1787381973">
    <w:abstractNumId w:val="13"/>
  </w:num>
  <w:num w:numId="4" w16cid:durableId="1140810425">
    <w:abstractNumId w:val="11"/>
  </w:num>
  <w:num w:numId="5" w16cid:durableId="1180126137">
    <w:abstractNumId w:val="5"/>
  </w:num>
  <w:num w:numId="6" w16cid:durableId="2018262344">
    <w:abstractNumId w:val="4"/>
  </w:num>
  <w:num w:numId="7" w16cid:durableId="662007213">
    <w:abstractNumId w:val="10"/>
  </w:num>
  <w:num w:numId="8" w16cid:durableId="1755978351">
    <w:abstractNumId w:val="12"/>
  </w:num>
  <w:num w:numId="9" w16cid:durableId="431822853">
    <w:abstractNumId w:val="7"/>
  </w:num>
  <w:num w:numId="10" w16cid:durableId="48500991">
    <w:abstractNumId w:val="6"/>
  </w:num>
  <w:num w:numId="11" w16cid:durableId="850219951">
    <w:abstractNumId w:val="9"/>
  </w:num>
  <w:num w:numId="12" w16cid:durableId="1913926732">
    <w:abstractNumId w:val="8"/>
  </w:num>
  <w:num w:numId="13" w16cid:durableId="1456021164">
    <w:abstractNumId w:val="2"/>
  </w:num>
  <w:num w:numId="14" w16cid:durableId="360055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711"/>
    <w:rsid w:val="00035449"/>
    <w:rsid w:val="000D1133"/>
    <w:rsid w:val="001307CB"/>
    <w:rsid w:val="001327B4"/>
    <w:rsid w:val="001570B0"/>
    <w:rsid w:val="001B6790"/>
    <w:rsid w:val="001C61FC"/>
    <w:rsid w:val="00225892"/>
    <w:rsid w:val="0026086F"/>
    <w:rsid w:val="00272821"/>
    <w:rsid w:val="00273284"/>
    <w:rsid w:val="002938F9"/>
    <w:rsid w:val="002B76FE"/>
    <w:rsid w:val="003E41BB"/>
    <w:rsid w:val="00416AB4"/>
    <w:rsid w:val="00417AFD"/>
    <w:rsid w:val="004277A8"/>
    <w:rsid w:val="00464E40"/>
    <w:rsid w:val="004723E7"/>
    <w:rsid w:val="004A4738"/>
    <w:rsid w:val="0051787D"/>
    <w:rsid w:val="00533E41"/>
    <w:rsid w:val="005F6218"/>
    <w:rsid w:val="0061254B"/>
    <w:rsid w:val="00630D4C"/>
    <w:rsid w:val="00640925"/>
    <w:rsid w:val="00670F9D"/>
    <w:rsid w:val="00674711"/>
    <w:rsid w:val="006C4C08"/>
    <w:rsid w:val="00706E37"/>
    <w:rsid w:val="007B4A70"/>
    <w:rsid w:val="007D47C6"/>
    <w:rsid w:val="008008E2"/>
    <w:rsid w:val="00801562"/>
    <w:rsid w:val="00857D77"/>
    <w:rsid w:val="00991A4E"/>
    <w:rsid w:val="00A13F42"/>
    <w:rsid w:val="00AC2930"/>
    <w:rsid w:val="00B0235C"/>
    <w:rsid w:val="00B82B6F"/>
    <w:rsid w:val="00B84238"/>
    <w:rsid w:val="00B90F58"/>
    <w:rsid w:val="00BA12BB"/>
    <w:rsid w:val="00BB1DFA"/>
    <w:rsid w:val="00C21AAC"/>
    <w:rsid w:val="00C9470A"/>
    <w:rsid w:val="00C9498A"/>
    <w:rsid w:val="00CA291A"/>
    <w:rsid w:val="00CA641B"/>
    <w:rsid w:val="00D37DFF"/>
    <w:rsid w:val="00DC169D"/>
    <w:rsid w:val="00DC6FAA"/>
    <w:rsid w:val="00E12DEE"/>
    <w:rsid w:val="00E243FA"/>
    <w:rsid w:val="00E95347"/>
    <w:rsid w:val="00EB4799"/>
    <w:rsid w:val="00EC1DCB"/>
    <w:rsid w:val="00ED0C35"/>
    <w:rsid w:val="00ED5DDA"/>
    <w:rsid w:val="00FA7C63"/>
    <w:rsid w:val="00FC3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7DAB8"/>
  <w15:chartTrackingRefBased/>
  <w15:docId w15:val="{76A79111-DD88-4EC4-9429-17E65B513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4711"/>
    <w:pPr>
      <w:spacing w:after="0" w:line="240" w:lineRule="auto"/>
    </w:pPr>
    <w:rPr>
      <w:rFonts w:ascii="Times New Roman" w:eastAsiaTheme="minorEastAsia" w:hAnsi="Times New Roman" w:cs="Times New Roman"/>
      <w:kern w:val="0"/>
      <w:sz w:val="24"/>
      <w:szCs w:val="24"/>
      <w:lang w:eastAsia="pt-PT"/>
      <w14:ligatures w14:val="non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74711"/>
    <w:pPr>
      <w:spacing w:before="100" w:beforeAutospacing="1" w:after="100" w:afterAutospacing="1"/>
    </w:pPr>
  </w:style>
  <w:style w:type="character" w:styleId="Forte">
    <w:name w:val="Strong"/>
    <w:basedOn w:val="Tipodeletrapredefinidodopargrafo"/>
    <w:uiPriority w:val="22"/>
    <w:qFormat/>
    <w:rsid w:val="00674711"/>
    <w:rPr>
      <w:b/>
      <w:bCs/>
    </w:rPr>
  </w:style>
  <w:style w:type="character" w:styleId="nfase">
    <w:name w:val="Emphasis"/>
    <w:basedOn w:val="Tipodeletrapredefinidodopargrafo"/>
    <w:uiPriority w:val="20"/>
    <w:qFormat/>
    <w:rsid w:val="00674711"/>
    <w:rPr>
      <w:i/>
      <w:iCs/>
    </w:rPr>
  </w:style>
  <w:style w:type="character" w:styleId="Hiperligao">
    <w:name w:val="Hyperlink"/>
    <w:basedOn w:val="Tipodeletrapredefinidodopargrafo"/>
    <w:uiPriority w:val="99"/>
    <w:semiHidden/>
    <w:unhideWhenUsed/>
    <w:rsid w:val="00C21AAC"/>
    <w:rPr>
      <w:color w:val="0000FF"/>
      <w:u w:val="single"/>
    </w:rPr>
  </w:style>
  <w:style w:type="paragraph" w:customStyle="1" w:styleId="msonormal0">
    <w:name w:val="msonormal"/>
    <w:basedOn w:val="Normal"/>
    <w:rsid w:val="00ED5DD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Docs\Abstracts\751\89\c2300c10-7e18-4ded-adc2-87bffac1555e.pdf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26749F-1EAE-4BAB-A7C1-782B1699A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512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Raquel Ferreira</dc:creator>
  <cp:keywords/>
  <dc:description/>
  <cp:lastModifiedBy>Raquel Ferreira</cp:lastModifiedBy>
  <cp:revision>2</cp:revision>
  <dcterms:created xsi:type="dcterms:W3CDTF">2023-03-15T15:22:00Z</dcterms:created>
  <dcterms:modified xsi:type="dcterms:W3CDTF">2023-03-15T15:22:00Z</dcterms:modified>
</cp:coreProperties>
</file>