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24D0E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sz w:val="20"/>
          <w:szCs w:val="20"/>
        </w:rPr>
        <w:t>PO</w:t>
      </w:r>
      <w:r w:rsidRPr="008D4853">
        <w:rPr>
          <w:rStyle w:val="Forte"/>
          <w:rFonts w:ascii="Arial" w:hAnsi="Arial" w:cs="Arial"/>
          <w:sz w:val="20"/>
          <w:szCs w:val="20"/>
        </w:rPr>
        <w:t>40   VALOR DA MONITORIZAÇÃO DA OXIGENAÇÃO CEREBRAL POR NIRS NA DETEÇÃO DE ISQUEMIA GLOBAL</w:t>
      </w:r>
    </w:p>
    <w:p w14:paraId="28B309AC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Cristina Peixoto de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Sousa(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João Tiago Silva(2); Pedro Amorim(2)</w:t>
      </w:r>
    </w:p>
    <w:p w14:paraId="7786E16D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CHTMAD (2) CHUP </w:t>
      </w:r>
    </w:p>
    <w:p w14:paraId="0C82F98D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17AC5FE1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Introdução</w:t>
      </w:r>
    </w:p>
    <w:p w14:paraId="4AE7036B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A assistolia durante cirurgia não cardíaca é um evento raro, mas potencialmente catastrófico, associado a mortalidade elevada</w:t>
      </w:r>
      <w:r w:rsidRPr="008D4853">
        <w:rPr>
          <w:rFonts w:ascii="Arial" w:hAnsi="Arial" w:cs="Arial"/>
          <w:color w:val="000000"/>
          <w:sz w:val="20"/>
          <w:szCs w:val="20"/>
          <w:vertAlign w:val="superscript"/>
        </w:rPr>
        <w:t>1.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 Reportamos um caso de assistolia durante cirurgia da coluna cervical, num doente com monitorização da oxigenação cerebral, documentando a sua importância numa utilização que não corresponde às indicações atuais para o seu uso.</w:t>
      </w:r>
    </w:p>
    <w:p w14:paraId="1B7B010E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58E4401D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Caso clínico</w:t>
      </w:r>
    </w:p>
    <w:p w14:paraId="477C840F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Homem de 65 anos, com mielopatia cervical, submetido a cirurgia de descompressão por via anterior a nível de C5-C6. ASA II por hipertensão arterial, dislipidemia e diabetes tipo 2.</w:t>
      </w:r>
    </w:p>
    <w:p w14:paraId="0EE30007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Foi submetido a uma anestesia total intravenosa por TCI (propofol 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remifentanil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) e perfusão de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rocurónio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para BNM profundo. A monitorização, além da standard da ASA com TA não invasiva a cada minuto, incluiu rSO2 cerebral (INVOS), EEG processado (BIS), BNM com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PTCs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a cada 5 minutos e ainda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pupilometria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Algiscan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) e variabilidade R-R (ANI) para avaliar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nocicepção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>/analgesia. Aos 20 minutos de cirurgia, na dissecção com uso de afastadores cirúrgicos e retração dos tecidos, ocorreram subitamente dois períodos de assistolia ventricular de 10 segundos cada, precedidos e seguidos de ondas P sem QRS, perda de onda de pletismografia, pressão arterial não mensurável e queda do EtCO2 e rSO2 (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Fig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1). Após cada um desses episódios, sucedeu-se uma bradicardia severa &lt;35bpm. Os cirurgiões foram imediatamente alertados e os afastadores foram retirados logo após o segundo período de assistolia. A FiO2 foi aumentada para 100% e foram administrados 2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bólus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EV de atropina de 0,5mg cada. Ao fim de 2 minutos o ECG era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sinusal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com uma frequência de 67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bpm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e SpO2, TA, ETCO2 e rSO2 cerebral voltaram aos valores pré evento, sem necessidade de qualquer outra intervenção. A cirurgia prosseguiu sem mais intercorrências, sendo o doente </w:t>
      </w:r>
      <w:proofErr w:type="spellStart"/>
      <w:r w:rsidRPr="008D4853">
        <w:rPr>
          <w:rFonts w:ascii="Arial" w:hAnsi="Arial" w:cs="Arial"/>
          <w:color w:val="000000"/>
          <w:sz w:val="20"/>
          <w:szCs w:val="20"/>
        </w:rPr>
        <w:t>extubado</w:t>
      </w:r>
      <w:proofErr w:type="spellEnd"/>
      <w:r w:rsidRPr="008D4853">
        <w:rPr>
          <w:rFonts w:ascii="Arial" w:hAnsi="Arial" w:cs="Arial"/>
          <w:color w:val="000000"/>
          <w:sz w:val="20"/>
          <w:szCs w:val="20"/>
        </w:rPr>
        <w:t xml:space="preserve"> no fim da cirurgia, despertando sem qualquer sequela. O doente foi posteriormente referenciado à especialidade de cardiologia.</w:t>
      </w:r>
    </w:p>
    <w:p w14:paraId="3584D872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44706754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Discussão</w:t>
      </w:r>
    </w:p>
    <w:p w14:paraId="2738DA28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>A assistolia durante cirurgia cervical é um evento raro, com apenas alguns casos clínicos descritos na literatura</w:t>
      </w:r>
      <w:r w:rsidRPr="008D4853">
        <w:rPr>
          <w:rFonts w:ascii="Arial" w:hAnsi="Arial" w:cs="Arial"/>
          <w:color w:val="000000"/>
          <w:sz w:val="20"/>
          <w:szCs w:val="20"/>
          <w:vertAlign w:val="superscript"/>
        </w:rPr>
        <w:t>2</w:t>
      </w:r>
      <w:r w:rsidRPr="008D4853">
        <w:rPr>
          <w:rFonts w:ascii="Arial" w:hAnsi="Arial" w:cs="Arial"/>
          <w:color w:val="000000"/>
          <w:sz w:val="20"/>
          <w:szCs w:val="20"/>
        </w:rPr>
        <w:t xml:space="preserve">. </w:t>
      </w:r>
      <w:r w:rsidRPr="008D4853">
        <w:rPr>
          <w:rFonts w:ascii="Arial" w:hAnsi="Arial" w:cs="Arial"/>
          <w:color w:val="202124"/>
          <w:sz w:val="20"/>
          <w:szCs w:val="20"/>
        </w:rPr>
        <w:t xml:space="preserve">Pensamos que a bradicardia e assistolia foram devidas a um reflexo </w:t>
      </w:r>
      <w:proofErr w:type="spellStart"/>
      <w:r w:rsidRPr="008D4853">
        <w:rPr>
          <w:rFonts w:ascii="Arial" w:hAnsi="Arial" w:cs="Arial"/>
          <w:color w:val="202124"/>
          <w:sz w:val="20"/>
          <w:szCs w:val="20"/>
        </w:rPr>
        <w:t>vagal</w:t>
      </w:r>
      <w:proofErr w:type="spellEnd"/>
      <w:r w:rsidRPr="008D4853">
        <w:rPr>
          <w:rFonts w:ascii="Arial" w:hAnsi="Arial" w:cs="Arial"/>
          <w:color w:val="202124"/>
          <w:sz w:val="20"/>
          <w:szCs w:val="20"/>
        </w:rPr>
        <w:t xml:space="preserve"> causado pela retração com os afastadores cirúrgicos. A pronta identificação da assistolia, administração de atropina e a libertação da retração cirúrgica resultaram no retorno do débito cardíaco. Este caso, que pudemos documentar, ilustra as graves consequências de um período ainda que curto e súbito de assistolia, nomeadamente quanto à imediata e acentuada diminuição da oxigenação cerebral. A monitorização da oxigenação cerebral é de grande utilidade e provavelmente as atuais indicações para o seu uso, limitadas quase à cirurgia cardíaca e das carótidas, com sensores bilaterais para deteção de isquemia focal, virá a ser revista, dada a sua utilidade, mesmo que só com um sensor, para permitir avaliar reduções globais da oxigenação cerebral. </w:t>
      </w:r>
    </w:p>
    <w:p w14:paraId="4B1605CD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26E95813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60E49922" w14:textId="77777777" w:rsidR="00D37DFF" w:rsidRPr="008D4853" w:rsidRDefault="00D37DFF" w:rsidP="00D37DFF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color w:val="000000"/>
          <w:sz w:val="20"/>
          <w:szCs w:val="20"/>
        </w:rPr>
        <w:t xml:space="preserve">Referências: </w:t>
      </w:r>
    </w:p>
    <w:p w14:paraId="3CD38B16" w14:textId="77777777" w:rsidR="00D37DFF" w:rsidRPr="008D4853" w:rsidRDefault="00D37DFF" w:rsidP="00D37DFF">
      <w:pPr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color w:val="383636"/>
          <w:sz w:val="20"/>
          <w:szCs w:val="20"/>
        </w:rPr>
        <w:t>Anesthesiology</w:t>
      </w:r>
      <w:proofErr w:type="spellEnd"/>
      <w:r w:rsidRPr="008D4853">
        <w:rPr>
          <w:rFonts w:ascii="Arial" w:eastAsia="Times New Roman" w:hAnsi="Arial" w:cs="Arial"/>
          <w:color w:val="383636"/>
          <w:sz w:val="20"/>
          <w:szCs w:val="20"/>
          <w:shd w:val="clear" w:color="auto" w:fill="FFFFFF"/>
        </w:rPr>
        <w:t xml:space="preserve"> 2012; 117:1018–1026. </w:t>
      </w:r>
    </w:p>
    <w:p w14:paraId="1A8BADC0" w14:textId="77777777" w:rsidR="00D37DFF" w:rsidRPr="008D4853" w:rsidRDefault="00D37DFF" w:rsidP="00D37DFF">
      <w:pPr>
        <w:numPr>
          <w:ilvl w:val="0"/>
          <w:numId w:val="14"/>
        </w:numPr>
        <w:rPr>
          <w:rFonts w:ascii="Arial" w:eastAsia="Times New Roman" w:hAnsi="Arial" w:cs="Arial"/>
          <w:sz w:val="20"/>
          <w:szCs w:val="20"/>
        </w:rPr>
      </w:pPr>
      <w:proofErr w:type="spellStart"/>
      <w:r w:rsidRPr="008D4853">
        <w:rPr>
          <w:rFonts w:ascii="Arial" w:eastAsia="Times New Roman" w:hAnsi="Arial" w:cs="Arial"/>
          <w:color w:val="383636"/>
          <w:sz w:val="20"/>
          <w:szCs w:val="20"/>
        </w:rPr>
        <w:t>Clin</w:t>
      </w:r>
      <w:proofErr w:type="spellEnd"/>
      <w:r w:rsidRPr="008D4853">
        <w:rPr>
          <w:rFonts w:ascii="Arial" w:eastAsia="Times New Roman" w:hAnsi="Arial" w:cs="Arial"/>
          <w:color w:val="383636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color w:val="383636"/>
          <w:sz w:val="20"/>
          <w:szCs w:val="20"/>
        </w:rPr>
        <w:t>Neurol</w:t>
      </w:r>
      <w:proofErr w:type="spellEnd"/>
      <w:r w:rsidRPr="008D4853">
        <w:rPr>
          <w:rFonts w:ascii="Arial" w:eastAsia="Times New Roman" w:hAnsi="Arial" w:cs="Arial"/>
          <w:color w:val="383636"/>
          <w:sz w:val="20"/>
          <w:szCs w:val="20"/>
        </w:rPr>
        <w:t xml:space="preserve"> </w:t>
      </w:r>
      <w:proofErr w:type="spellStart"/>
      <w:r w:rsidRPr="008D4853">
        <w:rPr>
          <w:rFonts w:ascii="Arial" w:eastAsia="Times New Roman" w:hAnsi="Arial" w:cs="Arial"/>
          <w:color w:val="383636"/>
          <w:sz w:val="20"/>
          <w:szCs w:val="20"/>
        </w:rPr>
        <w:t>Neurosurg</w:t>
      </w:r>
      <w:proofErr w:type="spellEnd"/>
      <w:r w:rsidRPr="008D4853">
        <w:rPr>
          <w:rFonts w:ascii="Arial" w:eastAsia="Times New Roman" w:hAnsi="Arial" w:cs="Arial"/>
          <w:color w:val="383636"/>
          <w:sz w:val="20"/>
          <w:szCs w:val="20"/>
        </w:rPr>
        <w:t xml:space="preserve"> 2017; 161:6-13</w:t>
      </w:r>
    </w:p>
    <w:p w14:paraId="407E3CEF" w14:textId="4D1CBBDD" w:rsidR="00FC35B8" w:rsidRPr="00706E37" w:rsidRDefault="00D37DFF" w:rsidP="00D37DFF">
      <w:pPr>
        <w:rPr>
          <w:rFonts w:ascii="Arial" w:eastAsia="Times New Roman" w:hAnsi="Arial" w:cs="Arial"/>
          <w:sz w:val="20"/>
          <w:szCs w:val="20"/>
        </w:rPr>
      </w:pP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3B623E3" wp14:editId="0D8BB082">
            <wp:extent cx="5715000" cy="4290060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2FF1410" wp14:editId="4EB1836D">
            <wp:extent cx="5715000" cy="7680960"/>
            <wp:effectExtent l="0" t="0" r="0" b="0"/>
            <wp:docPr id="48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4853">
        <w:rPr>
          <w:rFonts w:ascii="Arial" w:eastAsia="Times New Roman" w:hAnsi="Arial" w:cs="Arial"/>
          <w:sz w:val="20"/>
          <w:szCs w:val="20"/>
        </w:rPr>
        <w:br/>
      </w:r>
      <w:hyperlink r:id="rId8" w:history="1">
        <w:r w:rsidRPr="008D4853">
          <w:rPr>
            <w:rStyle w:val="Hiperligao"/>
            <w:rFonts w:ascii="Arial" w:eastAsia="Times New Roman" w:hAnsi="Arial" w:cs="Arial"/>
            <w:sz w:val="20"/>
            <w:szCs w:val="20"/>
          </w:rPr>
          <w:t>Consentimento Informado.pdf</w:t>
        </w:r>
      </w:hyperlink>
      <w:r w:rsidRPr="008D4853">
        <w:rPr>
          <w:rFonts w:ascii="Arial" w:eastAsia="Times New Roman" w:hAnsi="Arial" w:cs="Arial"/>
          <w:sz w:val="20"/>
          <w:szCs w:val="20"/>
        </w:rPr>
        <w:br/>
      </w:r>
      <w:r w:rsidRPr="008D485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B0BCFBB" wp14:editId="5F2CF852">
            <wp:extent cx="5715000" cy="4290060"/>
            <wp:effectExtent l="0" t="0" r="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35B8" w:rsidRPr="00706E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826C21"/>
    <w:multiLevelType w:val="multilevel"/>
    <w:tmpl w:val="D35C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8A4499"/>
    <w:multiLevelType w:val="multilevel"/>
    <w:tmpl w:val="A2C01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3"/>
  </w:num>
  <w:num w:numId="4" w16cid:durableId="1140810425">
    <w:abstractNumId w:val="11"/>
  </w:num>
  <w:num w:numId="5" w16cid:durableId="1180126137">
    <w:abstractNumId w:val="5"/>
  </w:num>
  <w:num w:numId="6" w16cid:durableId="2018262344">
    <w:abstractNumId w:val="4"/>
  </w:num>
  <w:num w:numId="7" w16cid:durableId="662007213">
    <w:abstractNumId w:val="10"/>
  </w:num>
  <w:num w:numId="8" w16cid:durableId="1755978351">
    <w:abstractNumId w:val="12"/>
  </w:num>
  <w:num w:numId="9" w16cid:durableId="431822853">
    <w:abstractNumId w:val="7"/>
  </w:num>
  <w:num w:numId="10" w16cid:durableId="48500991">
    <w:abstractNumId w:val="6"/>
  </w:num>
  <w:num w:numId="11" w16cid:durableId="850219951">
    <w:abstractNumId w:val="9"/>
  </w:num>
  <w:num w:numId="12" w16cid:durableId="1913926732">
    <w:abstractNumId w:val="8"/>
  </w:num>
  <w:num w:numId="13" w16cid:durableId="1456021164">
    <w:abstractNumId w:val="2"/>
  </w:num>
  <w:num w:numId="14" w16cid:durableId="36005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327B4"/>
    <w:rsid w:val="001570B0"/>
    <w:rsid w:val="001B6790"/>
    <w:rsid w:val="001C61FC"/>
    <w:rsid w:val="00225892"/>
    <w:rsid w:val="0026086F"/>
    <w:rsid w:val="00272821"/>
    <w:rsid w:val="00273284"/>
    <w:rsid w:val="002938F9"/>
    <w:rsid w:val="002B76FE"/>
    <w:rsid w:val="003E41BB"/>
    <w:rsid w:val="00416AB4"/>
    <w:rsid w:val="00417AFD"/>
    <w:rsid w:val="004277A8"/>
    <w:rsid w:val="00464E40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06E37"/>
    <w:rsid w:val="007B4A70"/>
    <w:rsid w:val="007D47C6"/>
    <w:rsid w:val="008008E2"/>
    <w:rsid w:val="00801562"/>
    <w:rsid w:val="00857D77"/>
    <w:rsid w:val="00991A4E"/>
    <w:rsid w:val="00A13F42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37DFF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A7C63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s\Abstracts\751\89\c2300c10-7e18-4ded-adc2-87bffac1555e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2023-03-15T15:22:00Z</dcterms:created>
  <dcterms:modified xsi:type="dcterms:W3CDTF">2023-03-15T15:22:00Z</dcterms:modified>
</cp:coreProperties>
</file>