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AF80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42   Adequação dos quadros MSBOS em função dos rácios CT</w:t>
      </w:r>
    </w:p>
    <w:p w14:paraId="62B0CF1D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Beatriz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Soares(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Margarida Marcelino(1); Ana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Macêdo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(1);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Dialina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Brilhante(1)</w:t>
      </w:r>
    </w:p>
    <w:p w14:paraId="34067110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IPO Lisboa </w:t>
      </w:r>
    </w:p>
    <w:p w14:paraId="762C515E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1D3A8C32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INTRODUÇÃO</w:t>
      </w:r>
    </w:p>
    <w:p w14:paraId="6A21162E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A evolução da técnica cirúrgica e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hemostase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originou uma diminuição das perdas hemáticas intraoperatórias, com redução das necessidades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transfusionais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. Não obstante, a reserva de componentes sanguíneos continua a ser uma prática comum. Frequentemente por não serem necessários, resultam em consumo fútil de recursos materiais e humanos, com custos económicos acrescidos. Os quadros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Maximum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Surgical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 xml:space="preserve"> Blood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Order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 xml:space="preserve"> Schedule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 (MSBOS) pretendem ser guias de orientação padronizadas para a necessidade prevista de componentes sanguíneos, numa determinada cirurgia eletiva. No nosso hospital aplicam-se a doentes com hemoglobina ≥ 11 g/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. Idealmente, devem ser elaborados institucionalmente com base nos seus dados reais de utilização de produtos de sangue, otimizando a articulação entre a Anestesiologia,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Imuno-hemoterapia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 especialidades cirúrgicas. Para cada procedimento cirúrgico podem sugerir reserva de unidades de concentrado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eritrocitário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(UCE),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type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 xml:space="preserve">&amp;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screen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 xml:space="preserve"> </w:t>
      </w:r>
      <w:r w:rsidRPr="008D4853">
        <w:rPr>
          <w:rFonts w:ascii="Arial" w:hAnsi="Arial" w:cs="Arial"/>
          <w:color w:val="000000"/>
          <w:sz w:val="20"/>
          <w:szCs w:val="20"/>
        </w:rPr>
        <w:t>(T&amp;S) ou nenhuma ação.</w:t>
      </w:r>
    </w:p>
    <w:p w14:paraId="125CCF83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D917E2E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MÉTODOS</w:t>
      </w:r>
    </w:p>
    <w:p w14:paraId="21A256EC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Foram revistos os dados dos anos 2021 e 2022, da nossa instituição, tendo-se comparado o número de pedidos de UCE de reserva para cada cirurgia com o número de transfusões efetuadas, calculando o rácio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crossmatched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transfused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(CT). Este deve ser inferior a 2, traduzindo a utilização de mais de 50% das unidades pedidas. Conforme o CT obtido para cada tipo de cirurgia, foram atualizados os quadros MSBOS para aproximar os pedidos de reserva de componentes sanguíneos às necessidades reais.</w:t>
      </w:r>
    </w:p>
    <w:p w14:paraId="6BED55A7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AFBD12C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RESULTADOS</w:t>
      </w:r>
    </w:p>
    <w:p w14:paraId="79942EDE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O rácio CT global (todos os doentes aplicáveis) foi superior a 2 em ambos os anos (2,14 e 2,19 respetivamente), indicando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sobre-reserva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. Os rácios mais elevados observaram-se em Otorrinolaringologia (</w:t>
      </w:r>
      <w:r w:rsidRPr="008D48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2,9) </w:t>
      </w:r>
      <w:r w:rsidRPr="008D4853">
        <w:rPr>
          <w:rFonts w:ascii="Arial" w:hAnsi="Arial" w:cs="Arial"/>
          <w:color w:val="000000"/>
          <w:sz w:val="20"/>
          <w:szCs w:val="20"/>
        </w:rPr>
        <w:t>e na Cirurgia de Cabeça e Pescoço (</w:t>
      </w:r>
      <w:r w:rsidRPr="008D4853">
        <w:rPr>
          <w:rFonts w:ascii="Arial" w:hAnsi="Arial" w:cs="Arial"/>
          <w:color w:val="000000"/>
          <w:sz w:val="20"/>
          <w:szCs w:val="20"/>
          <w:shd w:val="clear" w:color="auto" w:fill="FFFFFF"/>
        </w:rPr>
        <w:t>2,9)</w:t>
      </w:r>
      <w:r w:rsidRPr="008D4853">
        <w:rPr>
          <w:rFonts w:ascii="Arial" w:hAnsi="Arial" w:cs="Arial"/>
          <w:color w:val="000000"/>
          <w:sz w:val="20"/>
          <w:szCs w:val="20"/>
        </w:rPr>
        <w:t>. Os melhores, consistentemente inferiores a 2,0, foram a Ginecologia e a Cirurgia Geral. </w:t>
      </w:r>
    </w:p>
    <w:p w14:paraId="44D6E918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Os quadros MSBOS foram atualizados no sentido de reduzir o número de cirurgias com indicação para reserva de UCE. Existiu uma diminuição do número de UCE a estudar e um aumento de </w:t>
      </w:r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T&amp;S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. As esofagectomias, esplenectomias,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citorreduções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de tumor do ovário, resseções de tumor da base do crânio e RTU-P passaram a </w:t>
      </w:r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T&amp;S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. Manteve-se a necessidade de estudo prévio de UCE nas exenterações pélvicas, resseções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abdominoperitoneais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peritonectomias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resseções de tumores retroperitoneais e pélvicos, cirurgia major do pulmão, nefrectomias, cistectomias, prostatectomias, cirurgia de retalho livre,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maxilectomias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 resseções de tumores do corpo carotídeo (a maioria com reserva de apenas 1 UCE).</w:t>
      </w:r>
    </w:p>
    <w:p w14:paraId="03B90DAC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D4E2BB1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CONCLUSÃO</w:t>
      </w:r>
    </w:p>
    <w:p w14:paraId="6AEF0595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Existe oportunidade de melhoria do nosso rácio CT. A alteração dos quadros MSBOS, em função da gestão das necessidades dos componentes sanguíneos tem na sua génese o contributo essencial do anestesiologista.</w:t>
      </w:r>
    </w:p>
    <w:p w14:paraId="6EB60EB3" w14:textId="77777777" w:rsidR="001942BE" w:rsidRPr="008D4853" w:rsidRDefault="001942BE" w:rsidP="001942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Os MSBOS otimizados são um instrumento importante para a redução dos gastos excessivos e uma alocação mais eficiente dos recursos da instituição</w:t>
      </w:r>
    </w:p>
    <w:p w14:paraId="595EE6AE" w14:textId="77777777" w:rsidR="001942BE" w:rsidRPr="008D4853" w:rsidRDefault="001942BE" w:rsidP="001942BE">
      <w:pPr>
        <w:rPr>
          <w:rFonts w:ascii="Arial" w:eastAsia="Times New Roman" w:hAnsi="Arial" w:cs="Arial"/>
          <w:sz w:val="20"/>
          <w:szCs w:val="20"/>
        </w:rPr>
      </w:pPr>
    </w:p>
    <w:p w14:paraId="407E3CEF" w14:textId="330F1482" w:rsidR="00FC35B8" w:rsidRPr="00706E37" w:rsidRDefault="00FC35B8" w:rsidP="00D37DFF">
      <w:pPr>
        <w:rPr>
          <w:rFonts w:ascii="Arial" w:eastAsia="Times New Roman" w:hAnsi="Arial" w:cs="Arial"/>
          <w:sz w:val="20"/>
          <w:szCs w:val="20"/>
        </w:rPr>
      </w:pPr>
    </w:p>
    <w:sectPr w:rsidR="00FC35B8" w:rsidRPr="00706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6C21"/>
    <w:multiLevelType w:val="multilevel"/>
    <w:tmpl w:val="D35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A4499"/>
    <w:multiLevelType w:val="multilevel"/>
    <w:tmpl w:val="A2C0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545C6"/>
    <w:multiLevelType w:val="multilevel"/>
    <w:tmpl w:val="057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3"/>
  </w:num>
  <w:num w:numId="4" w16cid:durableId="1140810425">
    <w:abstractNumId w:val="11"/>
  </w:num>
  <w:num w:numId="5" w16cid:durableId="1180126137">
    <w:abstractNumId w:val="5"/>
  </w:num>
  <w:num w:numId="6" w16cid:durableId="2018262344">
    <w:abstractNumId w:val="4"/>
  </w:num>
  <w:num w:numId="7" w16cid:durableId="662007213">
    <w:abstractNumId w:val="10"/>
  </w:num>
  <w:num w:numId="8" w16cid:durableId="1755978351">
    <w:abstractNumId w:val="12"/>
  </w:num>
  <w:num w:numId="9" w16cid:durableId="431822853">
    <w:abstractNumId w:val="7"/>
  </w:num>
  <w:num w:numId="10" w16cid:durableId="48500991">
    <w:abstractNumId w:val="6"/>
  </w:num>
  <w:num w:numId="11" w16cid:durableId="850219951">
    <w:abstractNumId w:val="9"/>
  </w:num>
  <w:num w:numId="12" w16cid:durableId="1913926732">
    <w:abstractNumId w:val="8"/>
  </w:num>
  <w:num w:numId="13" w16cid:durableId="1456021164">
    <w:abstractNumId w:val="2"/>
  </w:num>
  <w:num w:numId="14" w16cid:durableId="36005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327B4"/>
    <w:rsid w:val="001570B0"/>
    <w:rsid w:val="001942BE"/>
    <w:rsid w:val="001B6790"/>
    <w:rsid w:val="001C61FC"/>
    <w:rsid w:val="00225892"/>
    <w:rsid w:val="0026086F"/>
    <w:rsid w:val="00272821"/>
    <w:rsid w:val="00273284"/>
    <w:rsid w:val="002938F9"/>
    <w:rsid w:val="002B76FE"/>
    <w:rsid w:val="003E41BB"/>
    <w:rsid w:val="00416AB4"/>
    <w:rsid w:val="00417AFD"/>
    <w:rsid w:val="004277A8"/>
    <w:rsid w:val="00464E40"/>
    <w:rsid w:val="004723E7"/>
    <w:rsid w:val="004A4738"/>
    <w:rsid w:val="0051787D"/>
    <w:rsid w:val="00533E41"/>
    <w:rsid w:val="005F6218"/>
    <w:rsid w:val="0061254B"/>
    <w:rsid w:val="00630D4C"/>
    <w:rsid w:val="00640925"/>
    <w:rsid w:val="00670F9D"/>
    <w:rsid w:val="00674711"/>
    <w:rsid w:val="006C4C08"/>
    <w:rsid w:val="00706E37"/>
    <w:rsid w:val="007B4A70"/>
    <w:rsid w:val="007D47C6"/>
    <w:rsid w:val="008008E2"/>
    <w:rsid w:val="00801562"/>
    <w:rsid w:val="00857D77"/>
    <w:rsid w:val="008B22DD"/>
    <w:rsid w:val="00991A4E"/>
    <w:rsid w:val="00A13F42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37DFF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A7C6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2023-03-15T15:25:00Z</dcterms:created>
  <dcterms:modified xsi:type="dcterms:W3CDTF">2023-03-15T15:25:00Z</dcterms:modified>
</cp:coreProperties>
</file>