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AF80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42   Adequação dos quadros MSBOS em função dos rácios CT</w:t>
      </w:r>
    </w:p>
    <w:p w14:paraId="62B0CF1D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Beatriz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Soares(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 xml:space="preserve">1); Margarida Marcelino(1); Ana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Macêdo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 xml:space="preserve">(1);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Dialina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 xml:space="preserve"> Brilhante(1)</w:t>
      </w:r>
    </w:p>
    <w:p w14:paraId="34067110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IPO Lisboa </w:t>
      </w:r>
    </w:p>
    <w:p w14:paraId="762C515E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1D3A8C32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INTRODUÇÃO</w:t>
      </w:r>
    </w:p>
    <w:p w14:paraId="6A21162E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A evolução da técnica cirúrgica e de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hemostase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originou uma diminuição das perdas hemáticas intraoperatórias, com redução das necessidades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transfusionais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. Não obstante, a reserva de componentes sanguíneos continua a ser uma prática comum. Frequentemente por não serem necessários, resultam em consumo fútil de recursos materiais e humanos, com custos económicos acrescidos. Os quadros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Maximum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Surgical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 xml:space="preserve"> Blood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Order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 xml:space="preserve"> Schedule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 (MSBOS) pretendem ser guias de orientação padronizadas para a necessidade prevista de componentes sanguíneos, numa determinada cirurgia eletiva. No nosso hospital aplicam-se a doentes com hemoglobina ≥ 11 g/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dL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. Idealmente, devem ser elaborados institucionalmente com base nos seus dados reais de utilização de produtos de sangue, otimizando a articulação entre a Anestesiologia,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Imuno-hemoterapia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e especialidades cirúrgicas. Para cada procedimento cirúrgico podem sugerir reserva de unidades de concentrado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eritrocitário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(UCE),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type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 xml:space="preserve">&amp;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screen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 xml:space="preserve"> </w:t>
      </w:r>
      <w:r w:rsidRPr="008D4853">
        <w:rPr>
          <w:rFonts w:ascii="Arial" w:hAnsi="Arial" w:cs="Arial"/>
          <w:color w:val="000000"/>
          <w:sz w:val="20"/>
          <w:szCs w:val="20"/>
        </w:rPr>
        <w:t>(T&amp;S) ou nenhuma ação.</w:t>
      </w:r>
    </w:p>
    <w:p w14:paraId="125CCF83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0D917E2E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MÉTODOS</w:t>
      </w:r>
    </w:p>
    <w:p w14:paraId="21A256EC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Foram revistos os dados dos anos 2021 e 2022, da nossa instituição, tendo-se comparado o número de pedidos de UCE de reserva para cada cirurgia com o número de transfusões efetuadas, calculando o rácio 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crossmatched</w:t>
      </w:r>
      <w:proofErr w:type="spellEnd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/</w:t>
      </w:r>
      <w:proofErr w:type="spellStart"/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transfused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(CT). Este deve ser inferior a 2, traduzindo a utilização de mais de 50% das unidades pedidas. Conforme o CT obtido para cada tipo de cirurgia, foram atualizados os quadros MSBOS para aproximar os pedidos de reserva de componentes sanguíneos às necessidades reais.</w:t>
      </w:r>
    </w:p>
    <w:p w14:paraId="6BED55A7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0AFBD12C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RESULTADOS</w:t>
      </w:r>
    </w:p>
    <w:p w14:paraId="79942EDE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O rácio CT global (todos os doentes aplicáveis) foi superior a 2 em ambos os anos (2,14 e 2,19 respetivamente), indicando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sobre-reserva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>. Os rácios mais elevados observaram-se em Otorrinolaringologia (</w:t>
      </w:r>
      <w:r w:rsidRPr="008D48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2,9) </w:t>
      </w:r>
      <w:r w:rsidRPr="008D4853">
        <w:rPr>
          <w:rFonts w:ascii="Arial" w:hAnsi="Arial" w:cs="Arial"/>
          <w:color w:val="000000"/>
          <w:sz w:val="20"/>
          <w:szCs w:val="20"/>
        </w:rPr>
        <w:t>e na Cirurgia de Cabeça e Pescoço (</w:t>
      </w:r>
      <w:r w:rsidRPr="008D4853">
        <w:rPr>
          <w:rFonts w:ascii="Arial" w:hAnsi="Arial" w:cs="Arial"/>
          <w:color w:val="000000"/>
          <w:sz w:val="20"/>
          <w:szCs w:val="20"/>
          <w:shd w:val="clear" w:color="auto" w:fill="FFFFFF"/>
        </w:rPr>
        <w:t>2,9)</w:t>
      </w:r>
      <w:r w:rsidRPr="008D4853">
        <w:rPr>
          <w:rFonts w:ascii="Arial" w:hAnsi="Arial" w:cs="Arial"/>
          <w:color w:val="000000"/>
          <w:sz w:val="20"/>
          <w:szCs w:val="20"/>
        </w:rPr>
        <w:t>. Os melhores, consistentemente inferiores a 2,0, foram a Ginecologia e a Cirurgia Geral. </w:t>
      </w:r>
    </w:p>
    <w:p w14:paraId="44D6E918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 xml:space="preserve">Os quadros MSBOS foram atualizados no sentido de reduzir o número de cirurgias com indicação para reserva de UCE. Existiu uma diminuição do número de UCE a estudar e um aumento de </w:t>
      </w:r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T&amp;S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. As esofagectomias, esplenectomias,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citorreduções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de tumor do ovário, resseções de tumor da base do crânio e RTU-P passaram a </w:t>
      </w:r>
      <w:r w:rsidRPr="008D4853">
        <w:rPr>
          <w:rStyle w:val="nfase"/>
          <w:rFonts w:ascii="Arial" w:hAnsi="Arial" w:cs="Arial"/>
          <w:color w:val="000000"/>
          <w:sz w:val="20"/>
          <w:szCs w:val="20"/>
        </w:rPr>
        <w:t>T&amp;S</w:t>
      </w:r>
      <w:r w:rsidRPr="008D4853">
        <w:rPr>
          <w:rFonts w:ascii="Arial" w:hAnsi="Arial" w:cs="Arial"/>
          <w:color w:val="000000"/>
          <w:sz w:val="20"/>
          <w:szCs w:val="20"/>
        </w:rPr>
        <w:t xml:space="preserve">. Manteve-se a necessidade de estudo prévio de UCE nas exenterações pélvicas, resseções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abdominoperitoneais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peritonectomias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, resseções de tumores retroperitoneais e pélvicos, cirurgia major do pulmão, nefrectomias, cistectomias, prostatectomias, cirurgia de retalho livre, </w:t>
      </w:r>
      <w:proofErr w:type="spellStart"/>
      <w:r w:rsidRPr="008D4853">
        <w:rPr>
          <w:rFonts w:ascii="Arial" w:hAnsi="Arial" w:cs="Arial"/>
          <w:color w:val="000000"/>
          <w:sz w:val="20"/>
          <w:szCs w:val="20"/>
        </w:rPr>
        <w:t>maxilectomias</w:t>
      </w:r>
      <w:proofErr w:type="spellEnd"/>
      <w:r w:rsidRPr="008D4853">
        <w:rPr>
          <w:rFonts w:ascii="Arial" w:hAnsi="Arial" w:cs="Arial"/>
          <w:color w:val="000000"/>
          <w:sz w:val="20"/>
          <w:szCs w:val="20"/>
        </w:rPr>
        <w:t xml:space="preserve"> e resseções de tumores do corpo carotídeo (a maioria com reserva de apenas 1 UCE).</w:t>
      </w:r>
    </w:p>
    <w:p w14:paraId="03B90DAC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6D4E2BB1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Forte"/>
          <w:rFonts w:ascii="Arial" w:hAnsi="Arial" w:cs="Arial"/>
          <w:color w:val="000000"/>
          <w:sz w:val="20"/>
          <w:szCs w:val="20"/>
        </w:rPr>
        <w:t>CONCLUSÃO</w:t>
      </w:r>
    </w:p>
    <w:p w14:paraId="6AEF0595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Existe oportunidade de melhoria do nosso rácio CT. A alteração dos quadros MSBOS, em função da gestão das necessidades dos componentes sanguíneos tem na sua génese o contributo essencial do anestesiologista.</w:t>
      </w:r>
    </w:p>
    <w:p w14:paraId="6EB60EB3" w14:textId="77777777" w:rsidR="001942BE" w:rsidRPr="008D4853" w:rsidRDefault="001942BE" w:rsidP="001942B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color w:val="000000"/>
          <w:sz w:val="20"/>
          <w:szCs w:val="20"/>
        </w:rPr>
        <w:t>Os MSBOS otimizados são um instrumento importante para a redução dos gastos excessivos e uma alocação mais eficiente dos recursos da instituição</w:t>
      </w:r>
    </w:p>
    <w:p w14:paraId="595EE6AE" w14:textId="77777777" w:rsidR="001942BE" w:rsidRPr="008D4853" w:rsidRDefault="001942BE" w:rsidP="001942BE">
      <w:pPr>
        <w:rPr>
          <w:rFonts w:ascii="Arial" w:eastAsia="Times New Roman" w:hAnsi="Arial" w:cs="Arial"/>
          <w:sz w:val="20"/>
          <w:szCs w:val="20"/>
        </w:rPr>
      </w:pPr>
    </w:p>
    <w:p w14:paraId="407E3CEF" w14:textId="330F1482" w:rsidR="00FC35B8" w:rsidRPr="00706E37" w:rsidRDefault="00FC35B8" w:rsidP="00D37DFF">
      <w:pPr>
        <w:rPr>
          <w:rFonts w:ascii="Arial" w:eastAsia="Times New Roman" w:hAnsi="Arial" w:cs="Arial"/>
          <w:sz w:val="20"/>
          <w:szCs w:val="20"/>
        </w:rPr>
      </w:pPr>
    </w:p>
    <w:sectPr w:rsidR="00FC35B8" w:rsidRPr="00706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6C21"/>
    <w:multiLevelType w:val="multilevel"/>
    <w:tmpl w:val="D35C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A4499"/>
    <w:multiLevelType w:val="multilevel"/>
    <w:tmpl w:val="A2C0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510DDA"/>
    <w:multiLevelType w:val="multilevel"/>
    <w:tmpl w:val="3DD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6545C6"/>
    <w:multiLevelType w:val="multilevel"/>
    <w:tmpl w:val="057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4F1402"/>
    <w:multiLevelType w:val="multilevel"/>
    <w:tmpl w:val="9C6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13"/>
  </w:num>
  <w:num w:numId="4" w16cid:durableId="1140810425">
    <w:abstractNumId w:val="11"/>
  </w:num>
  <w:num w:numId="5" w16cid:durableId="1180126137">
    <w:abstractNumId w:val="5"/>
  </w:num>
  <w:num w:numId="6" w16cid:durableId="2018262344">
    <w:abstractNumId w:val="4"/>
  </w:num>
  <w:num w:numId="7" w16cid:durableId="662007213">
    <w:abstractNumId w:val="10"/>
  </w:num>
  <w:num w:numId="8" w16cid:durableId="1755978351">
    <w:abstractNumId w:val="12"/>
  </w:num>
  <w:num w:numId="9" w16cid:durableId="431822853">
    <w:abstractNumId w:val="7"/>
  </w:num>
  <w:num w:numId="10" w16cid:durableId="48500991">
    <w:abstractNumId w:val="6"/>
  </w:num>
  <w:num w:numId="11" w16cid:durableId="850219951">
    <w:abstractNumId w:val="9"/>
  </w:num>
  <w:num w:numId="12" w16cid:durableId="1913926732">
    <w:abstractNumId w:val="8"/>
  </w:num>
  <w:num w:numId="13" w16cid:durableId="1456021164">
    <w:abstractNumId w:val="2"/>
  </w:num>
  <w:num w:numId="14" w16cid:durableId="36005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35449"/>
    <w:rsid w:val="000D1133"/>
    <w:rsid w:val="001307CB"/>
    <w:rsid w:val="001327B4"/>
    <w:rsid w:val="001570B0"/>
    <w:rsid w:val="001942BE"/>
    <w:rsid w:val="001B6790"/>
    <w:rsid w:val="001C61FC"/>
    <w:rsid w:val="00225892"/>
    <w:rsid w:val="0026086F"/>
    <w:rsid w:val="00272821"/>
    <w:rsid w:val="00273284"/>
    <w:rsid w:val="002938F9"/>
    <w:rsid w:val="002B76FE"/>
    <w:rsid w:val="003E41BB"/>
    <w:rsid w:val="00416AB4"/>
    <w:rsid w:val="00417AFD"/>
    <w:rsid w:val="004277A8"/>
    <w:rsid w:val="00464E40"/>
    <w:rsid w:val="004723E7"/>
    <w:rsid w:val="004A4738"/>
    <w:rsid w:val="0051787D"/>
    <w:rsid w:val="00533E41"/>
    <w:rsid w:val="005F6218"/>
    <w:rsid w:val="0061254B"/>
    <w:rsid w:val="00630D4C"/>
    <w:rsid w:val="00640925"/>
    <w:rsid w:val="00670F9D"/>
    <w:rsid w:val="00674711"/>
    <w:rsid w:val="006C4C08"/>
    <w:rsid w:val="00706E37"/>
    <w:rsid w:val="007B4A70"/>
    <w:rsid w:val="007D47C6"/>
    <w:rsid w:val="008008E2"/>
    <w:rsid w:val="00801562"/>
    <w:rsid w:val="00857D77"/>
    <w:rsid w:val="008B22DD"/>
    <w:rsid w:val="00991A4E"/>
    <w:rsid w:val="00A13F42"/>
    <w:rsid w:val="00AC2930"/>
    <w:rsid w:val="00B0235C"/>
    <w:rsid w:val="00B82B6F"/>
    <w:rsid w:val="00B84238"/>
    <w:rsid w:val="00B90F58"/>
    <w:rsid w:val="00BA12BB"/>
    <w:rsid w:val="00BB1DFA"/>
    <w:rsid w:val="00C21AAC"/>
    <w:rsid w:val="00C9470A"/>
    <w:rsid w:val="00C9498A"/>
    <w:rsid w:val="00CA291A"/>
    <w:rsid w:val="00CA641B"/>
    <w:rsid w:val="00D37DFF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A7C63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2</cp:revision>
  <dcterms:created xsi:type="dcterms:W3CDTF">2023-03-15T15:25:00Z</dcterms:created>
  <dcterms:modified xsi:type="dcterms:W3CDTF">2023-03-15T15:25:00Z</dcterms:modified>
</cp:coreProperties>
</file>