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3F9E" w14:textId="77777777" w:rsidR="009E6574" w:rsidRPr="008D4853" w:rsidRDefault="009E6574" w:rsidP="009E657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PO</w:t>
      </w:r>
      <w:r w:rsidRPr="008D4853">
        <w:rPr>
          <w:rStyle w:val="Forte"/>
          <w:rFonts w:ascii="Arial" w:hAnsi="Arial" w:cs="Arial"/>
          <w:sz w:val="20"/>
          <w:szCs w:val="20"/>
        </w:rPr>
        <w:t>44   A OUTRA FACE DA TROMBOELASTROMETRIA ROTACIONAL (novo título)</w:t>
      </w:r>
    </w:p>
    <w:p w14:paraId="51995389" w14:textId="77777777" w:rsidR="009E6574" w:rsidRPr="008D4853" w:rsidRDefault="009E6574" w:rsidP="009E657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Mariana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Pascoal(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 xml:space="preserve">1); Germano Carreira(1); Luciane Pereira(1);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Celine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 xml:space="preserve"> Ferreira(1); André Postiga(1)</w:t>
      </w:r>
    </w:p>
    <w:p w14:paraId="02267F06" w14:textId="77777777" w:rsidR="009E6574" w:rsidRPr="008D4853" w:rsidRDefault="009E6574" w:rsidP="009E657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e Universitário de Coimbra / Hospitais da Universidade de Coimbra </w:t>
      </w:r>
    </w:p>
    <w:p w14:paraId="19E3AAE6" w14:textId="77777777" w:rsidR="009E6574" w:rsidRPr="008D4853" w:rsidRDefault="009E6574" w:rsidP="009E657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4E20095B" w14:textId="77777777" w:rsidR="009E6574" w:rsidRPr="008D4853" w:rsidRDefault="009E6574" w:rsidP="009E657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Título:</w:t>
      </w:r>
      <w:r w:rsidRPr="008D4853">
        <w:rPr>
          <w:rFonts w:ascii="Arial" w:hAnsi="Arial" w:cs="Arial"/>
          <w:sz w:val="20"/>
          <w:szCs w:val="20"/>
        </w:rPr>
        <w:t xml:space="preserve"> A OUTRA FACE DA TROMBOELASTROMETRIA ROTACIONAL </w:t>
      </w:r>
    </w:p>
    <w:p w14:paraId="3E13C3B2" w14:textId="77777777" w:rsidR="009E6574" w:rsidRPr="008D4853" w:rsidRDefault="009E6574" w:rsidP="009E657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 xml:space="preserve">Autores: </w:t>
      </w:r>
      <w:r w:rsidRPr="008D4853">
        <w:rPr>
          <w:rFonts w:ascii="Arial" w:hAnsi="Arial" w:cs="Arial"/>
          <w:sz w:val="20"/>
          <w:szCs w:val="20"/>
        </w:rPr>
        <w:t xml:space="preserve">Germano </w:t>
      </w:r>
      <w:proofErr w:type="gramStart"/>
      <w:r w:rsidRPr="008D4853">
        <w:rPr>
          <w:rFonts w:ascii="Arial" w:hAnsi="Arial" w:cs="Arial"/>
          <w:sz w:val="20"/>
          <w:szCs w:val="20"/>
        </w:rPr>
        <w:t>Carreira</w:t>
      </w:r>
      <w:r w:rsidRPr="008D4853"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 w:rsidRPr="008D4853">
        <w:rPr>
          <w:rFonts w:ascii="Arial" w:hAnsi="Arial" w:cs="Arial"/>
          <w:sz w:val="20"/>
          <w:szCs w:val="20"/>
          <w:vertAlign w:val="superscript"/>
        </w:rPr>
        <w:t>1)</w:t>
      </w:r>
      <w:r w:rsidRPr="008D4853">
        <w:rPr>
          <w:rFonts w:ascii="Arial" w:hAnsi="Arial" w:cs="Arial"/>
          <w:sz w:val="20"/>
          <w:szCs w:val="20"/>
        </w:rPr>
        <w:t>, Mariana Pascoal</w:t>
      </w:r>
      <w:r w:rsidRPr="008D4853">
        <w:rPr>
          <w:rFonts w:ascii="Arial" w:hAnsi="Arial" w:cs="Arial"/>
          <w:sz w:val="20"/>
          <w:szCs w:val="20"/>
          <w:vertAlign w:val="superscript"/>
        </w:rPr>
        <w:t>(2)</w:t>
      </w:r>
      <w:r w:rsidRPr="008D4853">
        <w:rPr>
          <w:rFonts w:ascii="Arial" w:hAnsi="Arial" w:cs="Arial"/>
          <w:sz w:val="20"/>
          <w:szCs w:val="20"/>
        </w:rPr>
        <w:t>, Luciane Pereira</w:t>
      </w:r>
      <w:r w:rsidRPr="008D4853">
        <w:rPr>
          <w:rFonts w:ascii="Arial" w:hAnsi="Arial" w:cs="Arial"/>
          <w:sz w:val="20"/>
          <w:szCs w:val="20"/>
          <w:vertAlign w:val="superscript"/>
        </w:rPr>
        <w:t>(3)</w:t>
      </w:r>
      <w:r w:rsidRPr="008D48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D4853">
        <w:rPr>
          <w:rFonts w:ascii="Arial" w:hAnsi="Arial" w:cs="Arial"/>
          <w:sz w:val="20"/>
          <w:szCs w:val="20"/>
        </w:rPr>
        <w:t>Celine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Ferreira</w:t>
      </w:r>
      <w:r w:rsidRPr="008D4853">
        <w:rPr>
          <w:rFonts w:ascii="Arial" w:hAnsi="Arial" w:cs="Arial"/>
          <w:sz w:val="20"/>
          <w:szCs w:val="20"/>
          <w:vertAlign w:val="superscript"/>
        </w:rPr>
        <w:t>(4)</w:t>
      </w:r>
      <w:r w:rsidRPr="008D4853">
        <w:rPr>
          <w:rFonts w:ascii="Arial" w:hAnsi="Arial" w:cs="Arial"/>
          <w:sz w:val="20"/>
          <w:szCs w:val="20"/>
        </w:rPr>
        <w:t>, André Postiga</w:t>
      </w:r>
      <w:r w:rsidRPr="008D4853">
        <w:rPr>
          <w:rFonts w:ascii="Arial" w:hAnsi="Arial" w:cs="Arial"/>
          <w:sz w:val="20"/>
          <w:szCs w:val="20"/>
          <w:vertAlign w:val="superscript"/>
        </w:rPr>
        <w:t>(5)</w:t>
      </w:r>
    </w:p>
    <w:p w14:paraId="17476320" w14:textId="77777777" w:rsidR="009E6574" w:rsidRPr="008D4853" w:rsidRDefault="009E6574" w:rsidP="009E6574">
      <w:pPr>
        <w:pStyle w:val="NormalWeb"/>
        <w:spacing w:before="0" w:beforeAutospacing="0" w:after="0" w:afterAutospacing="0"/>
        <w:ind w:left="99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  <w:vertAlign w:val="superscript"/>
        </w:rPr>
        <w:t xml:space="preserve">(1,2,3,4,5) </w:t>
      </w:r>
      <w:r w:rsidRPr="008D4853">
        <w:rPr>
          <w:rFonts w:ascii="Arial" w:hAnsi="Arial" w:cs="Arial"/>
          <w:sz w:val="20"/>
          <w:szCs w:val="20"/>
        </w:rPr>
        <w:t>Centro Hospitalar Universitário de Coimbra</w:t>
      </w:r>
    </w:p>
    <w:p w14:paraId="28B285D6" w14:textId="77777777" w:rsidR="009E6574" w:rsidRPr="008D4853" w:rsidRDefault="009E6574" w:rsidP="009E657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63C539F5" w14:textId="77777777" w:rsidR="009E6574" w:rsidRPr="008D4853" w:rsidRDefault="009E6574" w:rsidP="009E6574">
      <w:pPr>
        <w:pStyle w:val="NormalWeb"/>
        <w:spacing w:before="0" w:beforeAutospacing="0" w:after="0" w:afterAutospacing="0"/>
        <w:ind w:left="57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Introdução:</w:t>
      </w:r>
      <w:r w:rsidRPr="008D4853">
        <w:rPr>
          <w:rFonts w:ascii="Arial" w:hAnsi="Arial" w:cs="Arial"/>
          <w:sz w:val="20"/>
          <w:szCs w:val="20"/>
        </w:rPr>
        <w:t xml:space="preserve"> Casos de sobreposição de risco hemorrágico e trombótico concomitante oferecem um desafio de gestão da hemóstase. Os testes viscoelásticos, nomeadamente a </w:t>
      </w:r>
      <w:proofErr w:type="spellStart"/>
      <w:r w:rsidRPr="008D4853">
        <w:rPr>
          <w:rFonts w:ascii="Arial" w:hAnsi="Arial" w:cs="Arial"/>
          <w:sz w:val="20"/>
          <w:szCs w:val="20"/>
        </w:rPr>
        <w:t>tromboelastrografia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D4853">
        <w:rPr>
          <w:rFonts w:ascii="Arial" w:hAnsi="Arial" w:cs="Arial"/>
          <w:sz w:val="20"/>
          <w:szCs w:val="20"/>
        </w:rPr>
        <w:t>tromboelastometria</w:t>
      </w:r>
      <w:proofErr w:type="spellEnd"/>
      <w:r w:rsidRPr="008D4853">
        <w:rPr>
          <w:rFonts w:ascii="Arial" w:hAnsi="Arial" w:cs="Arial"/>
          <w:sz w:val="20"/>
          <w:szCs w:val="20"/>
        </w:rPr>
        <w:t>, têm se mostrado cada vez mais úteis em prever complicações trombóticas no doente com fatores de risco para tromboembolismo</w:t>
      </w:r>
      <w:r w:rsidRPr="008D4853">
        <w:rPr>
          <w:rFonts w:ascii="Arial" w:hAnsi="Arial" w:cs="Arial"/>
          <w:sz w:val="20"/>
          <w:szCs w:val="20"/>
          <w:vertAlign w:val="superscript"/>
        </w:rPr>
        <w:t>1,2</w:t>
      </w:r>
      <w:r w:rsidRPr="008D4853">
        <w:rPr>
          <w:rFonts w:ascii="Arial" w:hAnsi="Arial" w:cs="Arial"/>
          <w:sz w:val="20"/>
          <w:szCs w:val="20"/>
        </w:rPr>
        <w:t>. No doente covid 19 estes testes mostraram se úteis na gestão e monitorização da anticoagulação</w:t>
      </w:r>
      <w:r w:rsidRPr="008D4853">
        <w:rPr>
          <w:rFonts w:ascii="Arial" w:hAnsi="Arial" w:cs="Arial"/>
          <w:sz w:val="20"/>
          <w:szCs w:val="20"/>
          <w:vertAlign w:val="superscript"/>
        </w:rPr>
        <w:t>3</w:t>
      </w:r>
      <w:r w:rsidRPr="008D4853">
        <w:rPr>
          <w:rFonts w:ascii="Arial" w:hAnsi="Arial" w:cs="Arial"/>
          <w:sz w:val="20"/>
          <w:szCs w:val="20"/>
        </w:rPr>
        <w:t xml:space="preserve">. Descrevemos o caso de um doente com diagnóstico de novo de trombose da veia porta e esplénica, pós-covid 19, em que a conduta guiada por testes viscoelásticos poderiam ter alterado o desfecho. </w:t>
      </w:r>
    </w:p>
    <w:p w14:paraId="204D5654" w14:textId="77777777" w:rsidR="009E6574" w:rsidRPr="008D4853" w:rsidRDefault="009E6574" w:rsidP="009E6574">
      <w:pPr>
        <w:pStyle w:val="NormalWeb"/>
        <w:spacing w:before="0" w:beforeAutospacing="0" w:after="0" w:afterAutospacing="0"/>
        <w:ind w:left="57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51F5A4B0" w14:textId="77777777" w:rsidR="009E6574" w:rsidRPr="008D4853" w:rsidRDefault="009E6574" w:rsidP="009E6574">
      <w:pPr>
        <w:pStyle w:val="NormalWeb"/>
        <w:spacing w:before="0" w:beforeAutospacing="0" w:after="0" w:afterAutospacing="0"/>
        <w:ind w:left="57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Caso clínico:</w:t>
      </w:r>
      <w:r w:rsidRPr="008D4853">
        <w:rPr>
          <w:rFonts w:ascii="Arial" w:hAnsi="Arial" w:cs="Arial"/>
          <w:sz w:val="20"/>
          <w:szCs w:val="20"/>
        </w:rPr>
        <w:t xml:space="preserve"> Trata-se de um doente do sexo masculino, com 58 anos, ASA II, em status pós-infeção covid 19 sintomática no último mês, com antecedentes de hipertensão arterial e depressão, que foi diagnosticado no serviço de urgência com trombose da veia porta e esplénica para a quais iniciou </w:t>
      </w:r>
      <w:proofErr w:type="spellStart"/>
      <w:r w:rsidRPr="008D4853">
        <w:rPr>
          <w:rFonts w:ascii="Arial" w:hAnsi="Arial" w:cs="Arial"/>
          <w:sz w:val="20"/>
          <w:szCs w:val="20"/>
        </w:rPr>
        <w:t>anticoagulação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com </w:t>
      </w:r>
      <w:proofErr w:type="spellStart"/>
      <w:r w:rsidRPr="008D4853">
        <w:rPr>
          <w:rFonts w:ascii="Arial" w:hAnsi="Arial" w:cs="Arial"/>
          <w:sz w:val="20"/>
          <w:szCs w:val="20"/>
        </w:rPr>
        <w:t>enoxaparina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40mg id. Em contexto de rotura de hematoma </w:t>
      </w:r>
      <w:proofErr w:type="spellStart"/>
      <w:r w:rsidRPr="008D4853">
        <w:rPr>
          <w:rFonts w:ascii="Arial" w:hAnsi="Arial" w:cs="Arial"/>
          <w:sz w:val="20"/>
          <w:szCs w:val="20"/>
        </w:rPr>
        <w:t>subcapsular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do baço detetado em </w:t>
      </w:r>
      <w:proofErr w:type="spellStart"/>
      <w:r w:rsidRPr="008D4853">
        <w:rPr>
          <w:rFonts w:ascii="Arial" w:hAnsi="Arial" w:cs="Arial"/>
          <w:sz w:val="20"/>
          <w:szCs w:val="20"/>
        </w:rPr>
        <w:t>angio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-TAC abdominal foi proposto para esplenectomia de urgência. No pré-operatório imediato apresentava-se anémico e com prolongamento marcado dos tempos de coagulação na sequência dos quais se realizou um teste viscoelástico - ROTEM®, que se apresenta em anexo, à entrada do bloco operatório. Foi empiricamente transfundido com duas unidades de concentrado </w:t>
      </w:r>
      <w:proofErr w:type="spellStart"/>
      <w:r w:rsidRPr="008D4853">
        <w:rPr>
          <w:rFonts w:ascii="Arial" w:hAnsi="Arial" w:cs="Arial"/>
          <w:sz w:val="20"/>
          <w:szCs w:val="20"/>
        </w:rPr>
        <w:t>eritrocitário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uma unidade de plasma fresco inativado. O procedimento decorreu sem intercorrências. O período pós-operatório foi complicado por endocardite da válvula aórtica a condicionar insuficiência aórtica grave e hematoma da parede abdominal com consequente suspensão da </w:t>
      </w:r>
      <w:proofErr w:type="spellStart"/>
      <w:r w:rsidRPr="008D4853">
        <w:rPr>
          <w:rFonts w:ascii="Arial" w:hAnsi="Arial" w:cs="Arial"/>
          <w:sz w:val="20"/>
          <w:szCs w:val="20"/>
        </w:rPr>
        <w:t>anticoagulação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. No 12º dia pós-operatório apresentou um episódio de alteração da linguagem e perda de força dos membros, traduzido em </w:t>
      </w:r>
      <w:proofErr w:type="spellStart"/>
      <w:r w:rsidRPr="008D4853">
        <w:rPr>
          <w:rFonts w:ascii="Arial" w:hAnsi="Arial" w:cs="Arial"/>
          <w:sz w:val="20"/>
          <w:szCs w:val="20"/>
        </w:rPr>
        <w:t>angio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-TC CE como oclusão de ramo da artéria cerebral média esquerda a condicionar lesão cerebral isquémica, sem indicação para </w:t>
      </w:r>
      <w:proofErr w:type="spellStart"/>
      <w:r w:rsidRPr="008D4853">
        <w:rPr>
          <w:rFonts w:ascii="Arial" w:hAnsi="Arial" w:cs="Arial"/>
          <w:sz w:val="20"/>
          <w:szCs w:val="20"/>
        </w:rPr>
        <w:t>trombectomia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mecânica pelo aparente risco hemorrágico. </w:t>
      </w:r>
    </w:p>
    <w:p w14:paraId="57BBDB6A" w14:textId="77777777" w:rsidR="009E6574" w:rsidRPr="008D4853" w:rsidRDefault="009E6574" w:rsidP="009E6574">
      <w:pPr>
        <w:pStyle w:val="NormalWeb"/>
        <w:spacing w:before="0" w:beforeAutospacing="0" w:after="0" w:afterAutospacing="0"/>
        <w:ind w:left="57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5CDD456D" w14:textId="77777777" w:rsidR="009E6574" w:rsidRPr="008D4853" w:rsidRDefault="009E6574" w:rsidP="009E6574">
      <w:pPr>
        <w:pStyle w:val="NormalWeb"/>
        <w:spacing w:before="0" w:beforeAutospacing="0" w:after="0" w:afterAutospacing="0"/>
        <w:ind w:left="57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Discussão:</w:t>
      </w:r>
      <w:r w:rsidRPr="008D4853">
        <w:rPr>
          <w:rFonts w:ascii="Arial" w:hAnsi="Arial" w:cs="Arial"/>
          <w:sz w:val="20"/>
          <w:szCs w:val="20"/>
        </w:rPr>
        <w:t xml:space="preserve"> Este caso é a realização de um completo desafio de gestão da hemóstase onde o risco hemorrágico e trombótico estão presentes. O anestesiologista tem um papel fundamental na gestão deste tipo de desafios clínicos já que se depara com doentes a cujo risco trombótico de base acresce o risco hemorrágico cirúrgico. As decisões empíricas nem sempre estão isentas de risco. O teste viscoelástico realizado no </w:t>
      </w:r>
      <w:proofErr w:type="spellStart"/>
      <w:r w:rsidRPr="008D4853">
        <w:rPr>
          <w:rFonts w:ascii="Arial" w:hAnsi="Arial" w:cs="Arial"/>
          <w:sz w:val="20"/>
          <w:szCs w:val="20"/>
        </w:rPr>
        <w:t>intra-operatório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demonstrava uma tendência trombótica neste doente que se veio a confirmar sob a forma de evento trombótico no pós-operatório. A administração guiada de hemoderivados deve ser privilegiada sempre que acessível pois mostrou estar associada a melhores </w:t>
      </w:r>
      <w:proofErr w:type="spellStart"/>
      <w:r w:rsidRPr="008D4853">
        <w:rPr>
          <w:rFonts w:ascii="Arial" w:hAnsi="Arial" w:cs="Arial"/>
          <w:sz w:val="20"/>
          <w:szCs w:val="20"/>
        </w:rPr>
        <w:t>outcomes</w:t>
      </w:r>
      <w:proofErr w:type="spellEnd"/>
      <w:r w:rsidRPr="008D4853">
        <w:rPr>
          <w:rFonts w:ascii="Arial" w:hAnsi="Arial" w:cs="Arial"/>
          <w:sz w:val="20"/>
          <w:szCs w:val="20"/>
        </w:rPr>
        <w:t>.</w:t>
      </w:r>
    </w:p>
    <w:p w14:paraId="2FBD5139" w14:textId="77777777" w:rsidR="009E6574" w:rsidRPr="008D4853" w:rsidRDefault="009E6574" w:rsidP="009E657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0CE1BD65" w14:textId="77777777" w:rsidR="009E6574" w:rsidRPr="008D4853" w:rsidRDefault="009E6574" w:rsidP="009E657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Referências:</w:t>
      </w:r>
    </w:p>
    <w:p w14:paraId="4B2B7C52" w14:textId="77777777" w:rsidR="009E6574" w:rsidRPr="008D4853" w:rsidRDefault="009E6574" w:rsidP="009E6574">
      <w:pPr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Crit</w:t>
      </w:r>
      <w:proofErr w:type="spellEnd"/>
      <w:r w:rsidRPr="008D485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Care. 2014;18(5):549. </w:t>
      </w:r>
    </w:p>
    <w:p w14:paraId="5E4D2B35" w14:textId="77777777" w:rsidR="009E6574" w:rsidRPr="008D4853" w:rsidRDefault="009E6574" w:rsidP="009E6574">
      <w:pPr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color w:val="1C1D1E"/>
          <w:sz w:val="20"/>
          <w:szCs w:val="20"/>
          <w:shd w:val="clear" w:color="auto" w:fill="FFFFFF"/>
        </w:rPr>
        <w:t>Eur</w:t>
      </w:r>
      <w:proofErr w:type="spellEnd"/>
      <w:r w:rsidRPr="008D4853">
        <w:rPr>
          <w:rFonts w:ascii="Arial" w:eastAsia="Times New Roman" w:hAnsi="Arial" w:cs="Arial"/>
          <w:color w:val="1C1D1E"/>
          <w:sz w:val="20"/>
          <w:szCs w:val="20"/>
          <w:shd w:val="clear" w:color="auto" w:fill="FFFFFF"/>
        </w:rPr>
        <w:t xml:space="preserve"> J </w:t>
      </w:r>
      <w:proofErr w:type="spellStart"/>
      <w:r w:rsidRPr="008D4853">
        <w:rPr>
          <w:rFonts w:ascii="Arial" w:eastAsia="Times New Roman" w:hAnsi="Arial" w:cs="Arial"/>
          <w:color w:val="1C1D1E"/>
          <w:sz w:val="20"/>
          <w:szCs w:val="20"/>
          <w:shd w:val="clear" w:color="auto" w:fill="FFFFFF"/>
        </w:rPr>
        <w:t>Haematol</w:t>
      </w:r>
      <w:proofErr w:type="spellEnd"/>
      <w:r w:rsidRPr="008D4853">
        <w:rPr>
          <w:rFonts w:ascii="Arial" w:eastAsia="Times New Roman" w:hAnsi="Arial" w:cs="Arial"/>
          <w:color w:val="1C1D1E"/>
          <w:sz w:val="20"/>
          <w:szCs w:val="20"/>
          <w:shd w:val="clear" w:color="auto" w:fill="FFFFFF"/>
        </w:rPr>
        <w:t>. 2018; 100: 113– 123.</w:t>
      </w:r>
    </w:p>
    <w:p w14:paraId="517F6CCA" w14:textId="77777777" w:rsidR="009E6574" w:rsidRPr="008D4853" w:rsidRDefault="009E6574" w:rsidP="009E6574">
      <w:pPr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sz w:val="20"/>
          <w:szCs w:val="20"/>
        </w:rPr>
        <w:t>Surgery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>. 2022 Apr;171(4):1092-1099.</w:t>
      </w:r>
    </w:p>
    <w:p w14:paraId="407E3CEF" w14:textId="207D67BD" w:rsidR="00FC35B8" w:rsidRPr="00706E37" w:rsidRDefault="009E6574" w:rsidP="009E6574">
      <w:p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br/>
      </w:r>
      <w:r w:rsidRPr="008D4853">
        <w:rPr>
          <w:rFonts w:ascii="Arial" w:eastAsia="Times New Roman" w:hAnsi="Arial" w:cs="Arial"/>
          <w:sz w:val="20"/>
          <w:szCs w:val="20"/>
        </w:rPr>
        <w:br/>
      </w:r>
      <w:r w:rsidRPr="008D4853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60175C9" wp14:editId="0110555F">
            <wp:extent cx="7101840" cy="7216140"/>
            <wp:effectExtent l="0" t="0" r="3810" b="381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840" cy="721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853">
        <w:rPr>
          <w:rFonts w:ascii="Arial" w:eastAsia="Times New Roman" w:hAnsi="Arial" w:cs="Arial"/>
          <w:sz w:val="20"/>
          <w:szCs w:val="20"/>
        </w:rPr>
        <w:br/>
      </w:r>
    </w:p>
    <w:sectPr w:rsidR="00FC35B8" w:rsidRPr="00706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6C21"/>
    <w:multiLevelType w:val="multilevel"/>
    <w:tmpl w:val="D35C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A4499"/>
    <w:multiLevelType w:val="multilevel"/>
    <w:tmpl w:val="A2C0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10DDA"/>
    <w:multiLevelType w:val="multilevel"/>
    <w:tmpl w:val="3DD6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4165E"/>
    <w:multiLevelType w:val="multilevel"/>
    <w:tmpl w:val="B3E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6545C6"/>
    <w:multiLevelType w:val="multilevel"/>
    <w:tmpl w:val="057A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F1402"/>
    <w:multiLevelType w:val="multilevel"/>
    <w:tmpl w:val="9C62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906F63"/>
    <w:multiLevelType w:val="multilevel"/>
    <w:tmpl w:val="126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B67E9D"/>
    <w:multiLevelType w:val="multilevel"/>
    <w:tmpl w:val="1D42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13"/>
  </w:num>
  <w:num w:numId="4" w16cid:durableId="1140810425">
    <w:abstractNumId w:val="11"/>
  </w:num>
  <w:num w:numId="5" w16cid:durableId="1180126137">
    <w:abstractNumId w:val="5"/>
  </w:num>
  <w:num w:numId="6" w16cid:durableId="2018262344">
    <w:abstractNumId w:val="4"/>
  </w:num>
  <w:num w:numId="7" w16cid:durableId="662007213">
    <w:abstractNumId w:val="10"/>
  </w:num>
  <w:num w:numId="8" w16cid:durableId="1755978351">
    <w:abstractNumId w:val="12"/>
  </w:num>
  <w:num w:numId="9" w16cid:durableId="431822853">
    <w:abstractNumId w:val="7"/>
  </w:num>
  <w:num w:numId="10" w16cid:durableId="48500991">
    <w:abstractNumId w:val="6"/>
  </w:num>
  <w:num w:numId="11" w16cid:durableId="850219951">
    <w:abstractNumId w:val="9"/>
  </w:num>
  <w:num w:numId="12" w16cid:durableId="1913926732">
    <w:abstractNumId w:val="8"/>
  </w:num>
  <w:num w:numId="13" w16cid:durableId="1456021164">
    <w:abstractNumId w:val="2"/>
  </w:num>
  <w:num w:numId="14" w16cid:durableId="36005509">
    <w:abstractNumId w:val="3"/>
  </w:num>
  <w:num w:numId="15" w16cid:durableId="1146899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35449"/>
    <w:rsid w:val="000D1133"/>
    <w:rsid w:val="001307CB"/>
    <w:rsid w:val="001327B4"/>
    <w:rsid w:val="001570B0"/>
    <w:rsid w:val="001942BE"/>
    <w:rsid w:val="001B6790"/>
    <w:rsid w:val="001C61FC"/>
    <w:rsid w:val="00225892"/>
    <w:rsid w:val="0026086F"/>
    <w:rsid w:val="00272821"/>
    <w:rsid w:val="00273284"/>
    <w:rsid w:val="002938F9"/>
    <w:rsid w:val="002B76FE"/>
    <w:rsid w:val="002C106E"/>
    <w:rsid w:val="003E41BB"/>
    <w:rsid w:val="00416AB4"/>
    <w:rsid w:val="00417AFD"/>
    <w:rsid w:val="004277A8"/>
    <w:rsid w:val="00464E40"/>
    <w:rsid w:val="004723E7"/>
    <w:rsid w:val="004A4738"/>
    <w:rsid w:val="0051787D"/>
    <w:rsid w:val="00533E41"/>
    <w:rsid w:val="005F6218"/>
    <w:rsid w:val="0061254B"/>
    <w:rsid w:val="00630D4C"/>
    <w:rsid w:val="00640925"/>
    <w:rsid w:val="00670F9D"/>
    <w:rsid w:val="00674711"/>
    <w:rsid w:val="006C4C08"/>
    <w:rsid w:val="00706E37"/>
    <w:rsid w:val="007B4A70"/>
    <w:rsid w:val="007D47C6"/>
    <w:rsid w:val="008008E2"/>
    <w:rsid w:val="00801562"/>
    <w:rsid w:val="00857D77"/>
    <w:rsid w:val="008B22DD"/>
    <w:rsid w:val="00991A4E"/>
    <w:rsid w:val="009E6574"/>
    <w:rsid w:val="00A13F42"/>
    <w:rsid w:val="00AC2930"/>
    <w:rsid w:val="00B0235C"/>
    <w:rsid w:val="00B82B6F"/>
    <w:rsid w:val="00B84238"/>
    <w:rsid w:val="00B90F58"/>
    <w:rsid w:val="00BA12BB"/>
    <w:rsid w:val="00BB1DFA"/>
    <w:rsid w:val="00C21AAC"/>
    <w:rsid w:val="00C9470A"/>
    <w:rsid w:val="00C9498A"/>
    <w:rsid w:val="00CA291A"/>
    <w:rsid w:val="00CA641B"/>
    <w:rsid w:val="00D37DFF"/>
    <w:rsid w:val="00DC169D"/>
    <w:rsid w:val="00DC6FAA"/>
    <w:rsid w:val="00E12DEE"/>
    <w:rsid w:val="00E243FA"/>
    <w:rsid w:val="00E95347"/>
    <w:rsid w:val="00EB4799"/>
    <w:rsid w:val="00EC1DCB"/>
    <w:rsid w:val="00ED0C35"/>
    <w:rsid w:val="00ED5DDA"/>
    <w:rsid w:val="00FA7C63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  <w:style w:type="paragraph" w:customStyle="1" w:styleId="msonormal0">
    <w:name w:val="msonormal"/>
    <w:basedOn w:val="Normal"/>
    <w:rsid w:val="00ED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2023-03-15T15:26:00Z</dcterms:created>
  <dcterms:modified xsi:type="dcterms:W3CDTF">2023-03-15T15:26:00Z</dcterms:modified>
</cp:coreProperties>
</file>