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8" w:rsidRPr="0042755E" w:rsidRDefault="00395768" w:rsidP="00325986">
      <w:pPr>
        <w:pStyle w:val="Artigo"/>
        <w:spacing w:line="480" w:lineRule="auto"/>
        <w:ind w:left="60"/>
        <w:jc w:val="left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2755E">
        <w:rPr>
          <w:rFonts w:ascii="Times New Roman" w:hAnsi="Times New Roman" w:cs="Times New Roman"/>
          <w:b w:val="0"/>
          <w:bCs/>
          <w:sz w:val="24"/>
          <w:szCs w:val="24"/>
        </w:rPr>
        <w:t>Avaliação da concentração de gases anestésicos</w:t>
      </w:r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 no Hospital de </w:t>
      </w:r>
      <w:proofErr w:type="spellStart"/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S.João</w:t>
      </w:r>
      <w:proofErr w:type="spellEnd"/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/ </w:t>
      </w:r>
      <w:proofErr w:type="spellStart"/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S.João</w:t>
      </w:r>
      <w:proofErr w:type="spellEnd"/>
      <w:r w:rsidR="007F05F5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Hospital </w:t>
      </w:r>
      <w:proofErr w:type="spellStart"/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assessment</w:t>
      </w:r>
      <w:proofErr w:type="spellEnd"/>
      <w:r w:rsidR="007F05F5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of</w:t>
      </w:r>
      <w:proofErr w:type="spellEnd"/>
      <w:r w:rsidR="007F05F5" w:rsidRPr="0042755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anesthe</w:t>
      </w:r>
      <w:r w:rsidR="0042755E">
        <w:rPr>
          <w:rFonts w:ascii="Times New Roman" w:hAnsi="Times New Roman" w:cs="Times New Roman"/>
          <w:b w:val="0"/>
          <w:bCs/>
          <w:sz w:val="24"/>
          <w:szCs w:val="24"/>
        </w:rPr>
        <w:t>t</w:t>
      </w:r>
      <w:r w:rsidR="00325986" w:rsidRPr="0042755E">
        <w:rPr>
          <w:rFonts w:ascii="Times New Roman" w:hAnsi="Times New Roman" w:cs="Times New Roman"/>
          <w:b w:val="0"/>
          <w:bCs/>
          <w:sz w:val="24"/>
          <w:szCs w:val="24"/>
        </w:rPr>
        <w:t>ic gases</w:t>
      </w:r>
    </w:p>
    <w:p w:rsidR="0096345C" w:rsidRDefault="0096345C">
      <w:pPr>
        <w:jc w:val="left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b/>
          <w:sz w:val="24"/>
        </w:rPr>
        <w:br w:type="page"/>
      </w:r>
    </w:p>
    <w:p w:rsidR="007F05F5" w:rsidRPr="00ED5F8D" w:rsidRDefault="007F05F5" w:rsidP="00325986">
      <w:pPr>
        <w:pStyle w:val="Artigo"/>
        <w:tabs>
          <w:tab w:val="left" w:pos="854"/>
        </w:tabs>
        <w:spacing w:line="480" w:lineRule="auto"/>
        <w:jc w:val="left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566E47" w:rsidRPr="00ED5F8D" w:rsidRDefault="00325986" w:rsidP="00325986">
      <w:pPr>
        <w:pStyle w:val="Artigo"/>
        <w:tabs>
          <w:tab w:val="left" w:pos="854"/>
        </w:tabs>
        <w:spacing w:line="480" w:lineRule="auto"/>
        <w:jc w:val="left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5F8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325986" w:rsidRDefault="00325986" w:rsidP="00325986">
      <w:pPr>
        <w:pStyle w:val="Autor"/>
        <w:rPr>
          <w:rFonts w:ascii="Times New Roman" w:hAnsi="Times New Roman" w:cs="Times New Roman"/>
          <w:sz w:val="24"/>
        </w:rPr>
      </w:pPr>
    </w:p>
    <w:p w:rsidR="0042755E" w:rsidRDefault="0042755E" w:rsidP="0042755E">
      <w:pPr>
        <w:pStyle w:val="Instituio"/>
      </w:pPr>
    </w:p>
    <w:p w:rsidR="0042755E" w:rsidRPr="0042755E" w:rsidRDefault="0042755E" w:rsidP="0042755E">
      <w:pPr>
        <w:pStyle w:val="Ttulos"/>
        <w:rPr>
          <w:lang w:val="pt-PT"/>
        </w:rPr>
      </w:pPr>
    </w:p>
    <w:p w:rsidR="00325986" w:rsidRPr="00ED5F8D" w:rsidRDefault="00325986" w:rsidP="00325986">
      <w:pPr>
        <w:pStyle w:val="Instituio"/>
        <w:rPr>
          <w:rFonts w:ascii="Times New Roman" w:hAnsi="Times New Roman" w:cs="Times New Roman"/>
          <w:sz w:val="24"/>
          <w:szCs w:val="24"/>
        </w:rPr>
      </w:pPr>
    </w:p>
    <w:p w:rsidR="00325986" w:rsidRPr="00ED5F8D" w:rsidRDefault="00325986" w:rsidP="00325986">
      <w:pPr>
        <w:pStyle w:val="Ttulos"/>
        <w:rPr>
          <w:rFonts w:ascii="Times New Roman" w:hAnsi="Times New Roman" w:cs="Times New Roman"/>
          <w:sz w:val="24"/>
          <w:szCs w:val="24"/>
          <w:lang w:val="pt-PT"/>
        </w:rPr>
      </w:pPr>
    </w:p>
    <w:p w:rsidR="001D5691" w:rsidRPr="00ED5F8D" w:rsidRDefault="007F05F5" w:rsidP="00502299">
      <w:pPr>
        <w:pStyle w:val="Corpo"/>
      </w:pPr>
      <w:r w:rsidRPr="00ED5F8D">
        <w:t xml:space="preserve">Avaliação da concentração de gases anestésicos no Hospital de </w:t>
      </w:r>
      <w:proofErr w:type="spellStart"/>
      <w:r w:rsidRPr="00ED5F8D">
        <w:t>S.João</w:t>
      </w:r>
      <w:proofErr w:type="spellEnd"/>
      <w:r w:rsidRPr="00ED5F8D">
        <w:t xml:space="preserve">/ </w:t>
      </w:r>
      <w:proofErr w:type="spellStart"/>
      <w:r w:rsidRPr="00ED5F8D">
        <w:t>S.João</w:t>
      </w:r>
      <w:proofErr w:type="spellEnd"/>
      <w:r w:rsidRPr="00ED5F8D">
        <w:t xml:space="preserve"> Hospital </w:t>
      </w:r>
      <w:proofErr w:type="spellStart"/>
      <w:r w:rsidRPr="00ED5F8D">
        <w:t>assessment</w:t>
      </w:r>
      <w:proofErr w:type="spellEnd"/>
      <w:r w:rsidRPr="00ED5F8D">
        <w:t xml:space="preserve"> </w:t>
      </w:r>
      <w:proofErr w:type="spellStart"/>
      <w:r w:rsidRPr="00ED5F8D">
        <w:t>of</w:t>
      </w:r>
      <w:proofErr w:type="spellEnd"/>
      <w:r w:rsidRPr="00ED5F8D">
        <w:t xml:space="preserve"> anesthe</w:t>
      </w:r>
      <w:r w:rsidR="0042755E">
        <w:t>t</w:t>
      </w:r>
      <w:r w:rsidRPr="00ED5F8D">
        <w:t>ic gases</w:t>
      </w:r>
    </w:p>
    <w:p w:rsidR="00325986" w:rsidRPr="00ED5F8D" w:rsidRDefault="00325986" w:rsidP="00502299">
      <w:pPr>
        <w:pStyle w:val="Corpo"/>
      </w:pPr>
    </w:p>
    <w:p w:rsidR="007F05F5" w:rsidRPr="00ED5F8D" w:rsidRDefault="007F05F5" w:rsidP="007F05F5">
      <w:pPr>
        <w:pStyle w:val="Artigo"/>
        <w:spacing w:line="480" w:lineRule="auto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ED5F8D">
        <w:rPr>
          <w:rFonts w:ascii="Times New Roman" w:hAnsi="Times New Roman" w:cs="Times New Roman"/>
          <w:sz w:val="24"/>
          <w:szCs w:val="24"/>
        </w:rPr>
        <w:t>RESUMO</w:t>
      </w:r>
    </w:p>
    <w:p w:rsidR="007F05F5" w:rsidRPr="00A87152" w:rsidRDefault="007F05F5" w:rsidP="007F05F5">
      <w:pPr>
        <w:spacing w:line="480" w:lineRule="auto"/>
        <w:rPr>
          <w:rFonts w:ascii="Times New Roman" w:hAnsi="Times New Roman"/>
          <w:sz w:val="24"/>
          <w:lang w:val="pt-PT"/>
        </w:rPr>
      </w:pPr>
      <w:r w:rsidRPr="00A87152">
        <w:rPr>
          <w:rFonts w:ascii="Times New Roman" w:hAnsi="Times New Roman"/>
          <w:b/>
          <w:bCs/>
          <w:sz w:val="24"/>
          <w:lang w:val="pt-PT"/>
        </w:rPr>
        <w:t xml:space="preserve">Introdução: </w:t>
      </w:r>
      <w:r w:rsidRPr="00A87152">
        <w:rPr>
          <w:rFonts w:ascii="Times New Roman" w:hAnsi="Times New Roman"/>
          <w:sz w:val="24"/>
          <w:lang w:val="pt-PT"/>
        </w:rPr>
        <w:t>Os efeitos adversos para a saúde pela exposição ocupacional a gases anestésico</w:t>
      </w:r>
      <w:r w:rsidR="0065671F">
        <w:rPr>
          <w:rFonts w:ascii="Times New Roman" w:hAnsi="Times New Roman"/>
          <w:sz w:val="24"/>
          <w:lang w:val="pt-PT"/>
        </w:rPr>
        <w:t>s permanecem controversos. Recomendam-se</w:t>
      </w:r>
      <w:r w:rsidRPr="00A87152">
        <w:rPr>
          <w:rFonts w:ascii="Times New Roman" w:hAnsi="Times New Roman"/>
          <w:sz w:val="24"/>
          <w:lang w:val="pt-PT"/>
        </w:rPr>
        <w:t xml:space="preserve"> valores limite de exposição para minimizar possíveis riscos para a </w:t>
      </w:r>
      <w:r w:rsidR="0065671F">
        <w:rPr>
          <w:rFonts w:ascii="Times New Roman" w:hAnsi="Times New Roman"/>
          <w:sz w:val="24"/>
          <w:lang w:val="pt-PT"/>
        </w:rPr>
        <w:t>saúde dos profissionais</w:t>
      </w:r>
      <w:r w:rsidRPr="00A87152">
        <w:rPr>
          <w:rFonts w:ascii="Times New Roman" w:hAnsi="Times New Roman"/>
          <w:sz w:val="24"/>
          <w:lang w:val="pt-PT"/>
        </w:rPr>
        <w:t xml:space="preserve">. O </w:t>
      </w:r>
      <w:r w:rsidR="00B13B10">
        <w:rPr>
          <w:rFonts w:ascii="Times New Roman" w:hAnsi="Times New Roman"/>
          <w:sz w:val="24"/>
          <w:lang w:val="pt-PT"/>
        </w:rPr>
        <w:t xml:space="preserve">nosso </w:t>
      </w:r>
      <w:r w:rsidRPr="00A87152">
        <w:rPr>
          <w:rFonts w:ascii="Times New Roman" w:hAnsi="Times New Roman"/>
          <w:sz w:val="24"/>
          <w:lang w:val="pt-PT"/>
        </w:rPr>
        <w:t>objetivo foi avaliar a concentração de gases anestésicos no ar ambiente em diferentes locais no Hospital de S.</w:t>
      </w:r>
      <w:r w:rsidR="00085D4C">
        <w:rPr>
          <w:rFonts w:ascii="Times New Roman" w:hAnsi="Times New Roman"/>
          <w:sz w:val="24"/>
          <w:lang w:val="pt-PT"/>
        </w:rPr>
        <w:t xml:space="preserve"> </w:t>
      </w:r>
      <w:r w:rsidRPr="00A87152">
        <w:rPr>
          <w:rFonts w:ascii="Times New Roman" w:hAnsi="Times New Roman"/>
          <w:sz w:val="24"/>
          <w:lang w:val="pt-PT"/>
        </w:rPr>
        <w:t xml:space="preserve">João durante um período de 7 anos. </w:t>
      </w:r>
    </w:p>
    <w:p w:rsidR="007F05F5" w:rsidRPr="00A87152" w:rsidRDefault="007F05F5" w:rsidP="007F05F5">
      <w:pPr>
        <w:spacing w:line="480" w:lineRule="auto"/>
        <w:rPr>
          <w:rFonts w:ascii="Times New Roman" w:hAnsi="Times New Roman"/>
          <w:sz w:val="24"/>
          <w:lang w:val="pt-PT"/>
        </w:rPr>
      </w:pPr>
      <w:r w:rsidRPr="00A87152">
        <w:rPr>
          <w:rFonts w:ascii="Times New Roman" w:hAnsi="Times New Roman"/>
          <w:b/>
          <w:bCs/>
          <w:sz w:val="24"/>
          <w:lang w:val="pt-PT"/>
        </w:rPr>
        <w:t xml:space="preserve">Material e Métodos: </w:t>
      </w:r>
      <w:r w:rsidR="0014380D">
        <w:rPr>
          <w:rFonts w:ascii="Times New Roman" w:hAnsi="Times New Roman"/>
          <w:sz w:val="24"/>
          <w:lang w:val="pt-PT"/>
        </w:rPr>
        <w:t>Efectuou-se m</w:t>
      </w:r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onitorização semestral de protóxido de azoto, </w:t>
      </w:r>
      <w:proofErr w:type="spellStart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e </w:t>
      </w:r>
      <w:proofErr w:type="spellStart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no período compreendido entre 2005 e 2012 nos Blocos Operatórios na dependência do Serviço de Anestesiologia e na Unidade de Queimados, recorrendo a espectro</w:t>
      </w:r>
      <w:r w:rsidR="0099735E"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scopia</w:t>
      </w:r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foto-acústica de </w:t>
      </w:r>
      <w:proofErr w:type="spellStart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infra-vermelhos</w:t>
      </w:r>
      <w:proofErr w:type="spellEnd"/>
      <w:r w:rsidRPr="00A87152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7F05F5" w:rsidRPr="00A87152" w:rsidRDefault="007F05F5" w:rsidP="007F05F5">
      <w:pPr>
        <w:spacing w:line="480" w:lineRule="auto"/>
        <w:rPr>
          <w:rFonts w:ascii="Times New Roman" w:hAnsi="Times New Roman"/>
          <w:sz w:val="24"/>
          <w:lang w:val="pt-PT"/>
        </w:rPr>
      </w:pPr>
      <w:r w:rsidRPr="00A87152">
        <w:rPr>
          <w:rFonts w:ascii="Times New Roman" w:hAnsi="Times New Roman"/>
          <w:b/>
          <w:bCs/>
          <w:sz w:val="24"/>
          <w:lang w:val="pt-PT"/>
        </w:rPr>
        <w:t>Resultados:</w:t>
      </w:r>
      <w:r w:rsidRPr="00A87152">
        <w:rPr>
          <w:rFonts w:ascii="Times New Roman" w:hAnsi="Times New Roman"/>
          <w:sz w:val="24"/>
          <w:lang w:val="pt-PT"/>
        </w:rPr>
        <w:t xml:space="preserve"> A </w:t>
      </w:r>
      <w:r w:rsidR="00B33E25" w:rsidRPr="00A87152">
        <w:rPr>
          <w:rFonts w:ascii="Times New Roman" w:hAnsi="Times New Roman"/>
          <w:sz w:val="24"/>
          <w:lang w:val="pt-PT"/>
        </w:rPr>
        <w:t>proporção de amostras com valores de</w:t>
      </w:r>
      <w:r w:rsidRPr="00A87152">
        <w:rPr>
          <w:rFonts w:ascii="Times New Roman" w:hAnsi="Times New Roman"/>
          <w:sz w:val="24"/>
          <w:lang w:val="pt-PT"/>
        </w:rPr>
        <w:t xml:space="preserve"> gás anestésico acima dos valores limite de exposição foi superior na Unidade de Queimados (54,5%), TAC/RMN (38,6%) e no Bloco de Cirurgia Ambulatório (34,5%).O </w:t>
      </w:r>
      <w:proofErr w:type="spellStart"/>
      <w:r w:rsidRPr="00A87152">
        <w:rPr>
          <w:rFonts w:ascii="Times New Roman" w:hAnsi="Times New Roman"/>
          <w:sz w:val="24"/>
          <w:lang w:val="pt-PT"/>
        </w:rPr>
        <w:t>desflurano</w:t>
      </w:r>
      <w:proofErr w:type="spellEnd"/>
      <w:r w:rsidRPr="00A87152">
        <w:rPr>
          <w:rFonts w:ascii="Times New Roman" w:hAnsi="Times New Roman"/>
          <w:sz w:val="24"/>
          <w:lang w:val="pt-PT"/>
        </w:rPr>
        <w:t xml:space="preserve"> foi o gás com maior </w:t>
      </w:r>
      <w:r w:rsidR="00B33E25" w:rsidRPr="00A87152">
        <w:rPr>
          <w:rFonts w:ascii="Times New Roman" w:hAnsi="Times New Roman"/>
          <w:sz w:val="24"/>
          <w:lang w:val="pt-PT"/>
        </w:rPr>
        <w:t>proporção</w:t>
      </w:r>
      <w:r w:rsidRPr="00A87152">
        <w:rPr>
          <w:rFonts w:ascii="Times New Roman" w:hAnsi="Times New Roman"/>
          <w:sz w:val="24"/>
          <w:lang w:val="pt-PT"/>
        </w:rPr>
        <w:t xml:space="preserve"> de medições acima dos valores limite de exposição (16,7%).</w:t>
      </w:r>
    </w:p>
    <w:p w:rsidR="007F05F5" w:rsidRPr="00502299" w:rsidRDefault="007F05F5" w:rsidP="00502299">
      <w:pPr>
        <w:pStyle w:val="Corpo"/>
      </w:pPr>
      <w:r w:rsidRPr="00502299">
        <w:rPr>
          <w:b/>
          <w:bCs/>
        </w:rPr>
        <w:t>Discussão:</w:t>
      </w:r>
      <w:r w:rsidRPr="00A87152">
        <w:t xml:space="preserve"> </w:t>
      </w:r>
      <w:r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Nos doentes queimados a sedação/anestesia geral é o tipo de anestesia mais utilizada sendo frequente o recurso à via inalatória. </w:t>
      </w:r>
      <w:proofErr w:type="gramStart"/>
      <w:r w:rsidRPr="00502299">
        <w:t>No TAC</w:t>
      </w:r>
      <w:proofErr w:type="gramEnd"/>
      <w:r w:rsidRPr="00502299">
        <w:t xml:space="preserve">/RMN o baixo número de renovações de ar por hora e a utilização frequente de um sistema de ventilação aberto poderá justificar os resultados. O </w:t>
      </w:r>
      <w:proofErr w:type="spellStart"/>
      <w:r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poderá estar associado à ocorrência de fugas não detectadas.</w:t>
      </w:r>
      <w:r w:rsidR="00B33E25" w:rsidRPr="00502299">
        <w:t xml:space="preserve"> </w:t>
      </w:r>
      <w:r w:rsidR="00B33E25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A ventilação inadequada não parece justificar a maioria das não conformidades.</w:t>
      </w:r>
    </w:p>
    <w:p w:rsidR="007F05F5" w:rsidRPr="00502299" w:rsidRDefault="007F05F5" w:rsidP="00502299">
      <w:pPr>
        <w:pStyle w:val="Corpo"/>
      </w:pPr>
      <w:r w:rsidRPr="00502299">
        <w:rPr>
          <w:b/>
          <w:bCs/>
        </w:rPr>
        <w:lastRenderedPageBreak/>
        <w:t>Conclusão:</w:t>
      </w:r>
      <w:r w:rsidRPr="00502299">
        <w:t xml:space="preserve"> </w:t>
      </w:r>
      <w:r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Os locais com maior risco de exposição foram a Unidade de Queimados, TAC/RMN e Cirurgia de Ambulatório. É necessária manter uma rigorosa monitorização </w:t>
      </w:r>
      <w:r w:rsidR="00CF52B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hospitalar </w:t>
      </w:r>
      <w:r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dos gases anestésicos</w:t>
      </w:r>
      <w:r w:rsidR="00CF52B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7F05F5" w:rsidRPr="00ED5F8D" w:rsidRDefault="007F05F5" w:rsidP="007F05F5">
      <w:pPr>
        <w:pStyle w:val="Style1"/>
        <w:spacing w:before="0" w:after="0" w:line="480" w:lineRule="auto"/>
        <w:outlineLvl w:val="0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D5F8D">
        <w:rPr>
          <w:rFonts w:ascii="Times New Roman" w:hAnsi="Times New Roman" w:cs="Times New Roman"/>
          <w:b w:val="0"/>
          <w:caps w:val="0"/>
          <w:sz w:val="24"/>
          <w:szCs w:val="24"/>
        </w:rPr>
        <w:t>Palavras-chave: exposição ocupacional; bloco operatório; gases anestésicos.</w:t>
      </w:r>
    </w:p>
    <w:p w:rsidR="00325986" w:rsidRPr="00ED5F8D" w:rsidRDefault="00325986" w:rsidP="00325986">
      <w:pPr>
        <w:pStyle w:val="Autor"/>
        <w:rPr>
          <w:rFonts w:ascii="Times New Roman" w:hAnsi="Times New Roman" w:cs="Times New Roman"/>
          <w:sz w:val="24"/>
        </w:rPr>
      </w:pPr>
    </w:p>
    <w:p w:rsidR="00956393" w:rsidRPr="00ED5F8D" w:rsidRDefault="00956393" w:rsidP="007F05F5">
      <w:pPr>
        <w:pStyle w:val="Artigo"/>
        <w:spacing w:line="480" w:lineRule="auto"/>
        <w:jc w:val="lef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ED5F8D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085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F8D">
        <w:rPr>
          <w:rFonts w:ascii="Times New Roman" w:hAnsi="Times New Roman" w:cs="Times New Roman"/>
          <w:sz w:val="24"/>
          <w:szCs w:val="24"/>
          <w:lang w:val="en-US"/>
        </w:rPr>
        <w:t>João</w:t>
      </w:r>
      <w:proofErr w:type="spellEnd"/>
      <w:r w:rsidRPr="00ED5F8D">
        <w:rPr>
          <w:rFonts w:ascii="Times New Roman" w:hAnsi="Times New Roman" w:cs="Times New Roman"/>
          <w:sz w:val="24"/>
          <w:szCs w:val="24"/>
          <w:lang w:val="en-US"/>
        </w:rPr>
        <w:t xml:space="preserve"> Hospital assessment of anesthe</w:t>
      </w:r>
      <w:r w:rsidR="0042755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D5F8D">
        <w:rPr>
          <w:rFonts w:ascii="Times New Roman" w:hAnsi="Times New Roman" w:cs="Times New Roman"/>
          <w:sz w:val="24"/>
          <w:szCs w:val="24"/>
          <w:lang w:val="en-US"/>
        </w:rPr>
        <w:t>ic gases</w:t>
      </w:r>
    </w:p>
    <w:p w:rsidR="00956393" w:rsidRPr="00ED5F8D" w:rsidRDefault="00956393" w:rsidP="00956393">
      <w:pPr>
        <w:pStyle w:val="Artigo"/>
        <w:spacing w:line="480" w:lineRule="auto"/>
        <w:jc w:val="lef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ED5F8D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956393" w:rsidRPr="00ED5F8D" w:rsidRDefault="00956393" w:rsidP="00956393">
      <w:pPr>
        <w:spacing w:line="480" w:lineRule="auto"/>
        <w:rPr>
          <w:rFonts w:ascii="Times New Roman" w:hAnsi="Times New Roman"/>
          <w:sz w:val="24"/>
        </w:rPr>
      </w:pPr>
      <w:r w:rsidRPr="00ED5F8D">
        <w:rPr>
          <w:rFonts w:ascii="Times New Roman" w:hAnsi="Times New Roman"/>
          <w:b/>
          <w:bCs/>
          <w:sz w:val="24"/>
        </w:rPr>
        <w:t>Introduction:</w:t>
      </w:r>
      <w:r w:rsidR="007F05F5" w:rsidRPr="00ED5F8D">
        <w:rPr>
          <w:rFonts w:ascii="Times New Roman" w:hAnsi="Times New Roman"/>
          <w:b/>
          <w:bCs/>
          <w:sz w:val="24"/>
        </w:rPr>
        <w:t xml:space="preserve"> </w:t>
      </w:r>
      <w:r w:rsidRPr="00ED5F8D">
        <w:rPr>
          <w:rFonts w:ascii="Times New Roman" w:hAnsi="Times New Roman"/>
          <w:sz w:val="24"/>
          <w:lang w:val="en-GB"/>
        </w:rPr>
        <w:t>Adverse health effects related with chronic exposure to waste anaesthe</w:t>
      </w:r>
      <w:r w:rsidR="00A76977" w:rsidRPr="00ED5F8D">
        <w:rPr>
          <w:rFonts w:ascii="Times New Roman" w:hAnsi="Times New Roman"/>
          <w:sz w:val="24"/>
          <w:lang w:val="en-GB"/>
        </w:rPr>
        <w:t>tic gases remain controversial.</w:t>
      </w:r>
      <w:r w:rsidRPr="00ED5F8D">
        <w:rPr>
          <w:rFonts w:ascii="Times New Roman" w:hAnsi="Times New Roman"/>
          <w:sz w:val="24"/>
        </w:rPr>
        <w:t>Strict threshold values are recommended to minimize possible health risks.</w:t>
      </w:r>
      <w:r w:rsidR="007F05F5" w:rsidRPr="00ED5F8D">
        <w:rPr>
          <w:rFonts w:ascii="Times New Roman" w:hAnsi="Times New Roman"/>
          <w:sz w:val="24"/>
        </w:rPr>
        <w:t xml:space="preserve"> </w:t>
      </w:r>
      <w:r w:rsidRPr="00ED5F8D">
        <w:rPr>
          <w:rFonts w:ascii="Times New Roman" w:hAnsi="Times New Roman"/>
          <w:sz w:val="24"/>
        </w:rPr>
        <w:t xml:space="preserve">The objective of our study was to measure the concentration of waste anesthetic gases in different </w:t>
      </w:r>
      <w:proofErr w:type="spellStart"/>
      <w:r w:rsidRPr="00ED5F8D">
        <w:rPr>
          <w:rFonts w:ascii="Times New Roman" w:hAnsi="Times New Roman"/>
          <w:sz w:val="24"/>
        </w:rPr>
        <w:t>S.João</w:t>
      </w:r>
      <w:proofErr w:type="spellEnd"/>
      <w:r w:rsidRPr="00ED5F8D">
        <w:rPr>
          <w:rFonts w:ascii="Times New Roman" w:hAnsi="Times New Roman"/>
          <w:sz w:val="24"/>
        </w:rPr>
        <w:t xml:space="preserve"> Hospital places in a 7-year period.</w:t>
      </w:r>
    </w:p>
    <w:p w:rsidR="008A222C" w:rsidRPr="00ED5F8D" w:rsidRDefault="00956393" w:rsidP="00956393">
      <w:pPr>
        <w:spacing w:line="480" w:lineRule="aut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D5F8D">
        <w:rPr>
          <w:rFonts w:ascii="Times New Roman" w:hAnsi="Times New Roman"/>
          <w:b/>
          <w:bCs/>
          <w:sz w:val="24"/>
        </w:rPr>
        <w:t>Material and Methods:</w:t>
      </w:r>
      <w:r w:rsidR="007F05F5" w:rsidRPr="00ED5F8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ED5F8D">
        <w:rPr>
          <w:rFonts w:ascii="Times New Roman" w:hAnsi="Times New Roman"/>
          <w:sz w:val="24"/>
        </w:rPr>
        <w:t>Semestral</w:t>
      </w:r>
      <w:proofErr w:type="spellEnd"/>
      <w:r w:rsidR="007F05F5" w:rsidRPr="00ED5F8D">
        <w:rPr>
          <w:rFonts w:ascii="Times New Roman" w:hAnsi="Times New Roman"/>
          <w:sz w:val="24"/>
        </w:rPr>
        <w:t xml:space="preserve"> </w:t>
      </w:r>
      <w:proofErr w:type="spellStart"/>
      <w:r w:rsidRPr="00ED5F8D">
        <w:rPr>
          <w:rFonts w:ascii="Times New Roman" w:hAnsi="Times New Roman"/>
          <w:sz w:val="24"/>
        </w:rPr>
        <w:t>assesment</w:t>
      </w:r>
      <w:proofErr w:type="spellEnd"/>
      <w:r w:rsidRPr="00ED5F8D">
        <w:rPr>
          <w:rFonts w:ascii="Times New Roman" w:hAnsi="Times New Roman"/>
          <w:sz w:val="24"/>
        </w:rPr>
        <w:t xml:space="preserve"> of nitrous oxide, </w:t>
      </w:r>
      <w:proofErr w:type="spellStart"/>
      <w:r w:rsidRPr="00ED5F8D">
        <w:rPr>
          <w:rFonts w:ascii="Times New Roman" w:hAnsi="Times New Roman"/>
          <w:sz w:val="24"/>
        </w:rPr>
        <w:t>sevoflurane</w:t>
      </w:r>
      <w:proofErr w:type="spellEnd"/>
      <w:r w:rsidRPr="00ED5F8D">
        <w:rPr>
          <w:rFonts w:ascii="Times New Roman" w:hAnsi="Times New Roman"/>
          <w:sz w:val="24"/>
        </w:rPr>
        <w:t xml:space="preserve"> and </w:t>
      </w:r>
      <w:proofErr w:type="spellStart"/>
      <w:r w:rsidRPr="00ED5F8D">
        <w:rPr>
          <w:rFonts w:ascii="Times New Roman" w:hAnsi="Times New Roman"/>
          <w:sz w:val="24"/>
        </w:rPr>
        <w:t>desflurane</w:t>
      </w:r>
      <w:proofErr w:type="spellEnd"/>
      <w:r w:rsidRPr="00ED5F8D">
        <w:rPr>
          <w:rFonts w:ascii="Times New Roman" w:hAnsi="Times New Roman"/>
          <w:sz w:val="24"/>
        </w:rPr>
        <w:t xml:space="preserve"> was made between 2005 and 2012 in Anesthesiology Department </w:t>
      </w:r>
      <w:r w:rsidR="008A222C" w:rsidRPr="00ED5F8D">
        <w:rPr>
          <w:rFonts w:ascii="Times New Roman" w:hAnsi="Times New Roman"/>
          <w:sz w:val="24"/>
        </w:rPr>
        <w:t>O</w:t>
      </w:r>
      <w:r w:rsidRPr="00ED5F8D">
        <w:rPr>
          <w:rFonts w:ascii="Times New Roman" w:hAnsi="Times New Roman"/>
          <w:sz w:val="24"/>
        </w:rPr>
        <w:t xml:space="preserve">peratory </w:t>
      </w:r>
      <w:r w:rsidR="008A222C" w:rsidRPr="00ED5F8D">
        <w:rPr>
          <w:rFonts w:ascii="Times New Roman" w:hAnsi="Times New Roman"/>
          <w:sz w:val="24"/>
        </w:rPr>
        <w:t>R</w:t>
      </w:r>
      <w:r w:rsidRPr="00ED5F8D">
        <w:rPr>
          <w:rFonts w:ascii="Times New Roman" w:hAnsi="Times New Roman"/>
          <w:sz w:val="24"/>
        </w:rPr>
        <w:t xml:space="preserve">ooms and </w:t>
      </w:r>
      <w:r w:rsidR="008A222C" w:rsidRPr="00ED5F8D">
        <w:rPr>
          <w:rFonts w:ascii="Times New Roman" w:hAnsi="Times New Roman"/>
          <w:sz w:val="24"/>
        </w:rPr>
        <w:t>in the Burn Unit. Trace gas analysis was pe</w:t>
      </w:r>
      <w:r w:rsidR="0099735E">
        <w:rPr>
          <w:rFonts w:ascii="Times New Roman" w:hAnsi="Times New Roman"/>
          <w:sz w:val="24"/>
        </w:rPr>
        <w:t>rformed by infrared spectroscopy</w:t>
      </w:r>
      <w:r w:rsidR="008A222C" w:rsidRPr="00ED5F8D">
        <w:rPr>
          <w:rFonts w:ascii="Times New Roman" w:hAnsi="Times New Roman"/>
          <w:sz w:val="24"/>
        </w:rPr>
        <w:t>.</w:t>
      </w:r>
    </w:p>
    <w:p w:rsidR="00A76977" w:rsidRPr="00ED5F8D" w:rsidRDefault="00956393" w:rsidP="00956393">
      <w:pPr>
        <w:spacing w:line="480" w:lineRule="auto"/>
        <w:rPr>
          <w:rFonts w:ascii="Times New Roman" w:hAnsi="Times New Roman"/>
          <w:sz w:val="24"/>
        </w:rPr>
      </w:pPr>
      <w:r w:rsidRPr="00ED5F8D">
        <w:rPr>
          <w:rFonts w:ascii="Times New Roman" w:hAnsi="Times New Roman"/>
          <w:b/>
          <w:bCs/>
          <w:sz w:val="24"/>
        </w:rPr>
        <w:t>Results:</w:t>
      </w:r>
      <w:r w:rsidR="007F05F5" w:rsidRPr="00ED5F8D">
        <w:rPr>
          <w:rFonts w:ascii="Times New Roman" w:hAnsi="Times New Roman"/>
          <w:b/>
          <w:bCs/>
          <w:sz w:val="24"/>
        </w:rPr>
        <w:t xml:space="preserve"> </w:t>
      </w:r>
      <w:r w:rsidR="00A76977" w:rsidRPr="00ED5F8D">
        <w:rPr>
          <w:rFonts w:ascii="Times New Roman" w:hAnsi="Times New Roman"/>
          <w:sz w:val="24"/>
        </w:rPr>
        <w:t xml:space="preserve">An anesthetic gas concentration above the upper limit of the threshold value was found in the Burn Unit </w:t>
      </w:r>
      <w:r w:rsidRPr="00ED5F8D">
        <w:rPr>
          <w:rFonts w:ascii="Times New Roman" w:hAnsi="Times New Roman"/>
          <w:sz w:val="24"/>
        </w:rPr>
        <w:t>(54</w:t>
      </w:r>
      <w:proofErr w:type="gramStart"/>
      <w:r w:rsidRPr="00ED5F8D">
        <w:rPr>
          <w:rFonts w:ascii="Times New Roman" w:hAnsi="Times New Roman"/>
          <w:sz w:val="24"/>
        </w:rPr>
        <w:t>,5</w:t>
      </w:r>
      <w:proofErr w:type="gramEnd"/>
      <w:r w:rsidRPr="00ED5F8D">
        <w:rPr>
          <w:rFonts w:ascii="Times New Roman" w:hAnsi="Times New Roman"/>
          <w:sz w:val="24"/>
        </w:rPr>
        <w:t xml:space="preserve">%), </w:t>
      </w:r>
      <w:r w:rsidR="001D5691" w:rsidRPr="00ED5F8D">
        <w:rPr>
          <w:rFonts w:ascii="Times New Roman" w:hAnsi="Times New Roman"/>
          <w:sz w:val="24"/>
        </w:rPr>
        <w:t>TAC/MRI</w:t>
      </w:r>
      <w:r w:rsidRPr="00ED5F8D">
        <w:rPr>
          <w:rFonts w:ascii="Times New Roman" w:hAnsi="Times New Roman"/>
          <w:sz w:val="24"/>
        </w:rPr>
        <w:t xml:space="preserve"> (38,6%) </w:t>
      </w:r>
      <w:r w:rsidR="00A76977" w:rsidRPr="00ED5F8D">
        <w:rPr>
          <w:rFonts w:ascii="Times New Roman" w:hAnsi="Times New Roman"/>
          <w:sz w:val="24"/>
        </w:rPr>
        <w:t>and</w:t>
      </w:r>
      <w:r w:rsidR="001D5691" w:rsidRPr="00ED5F8D">
        <w:rPr>
          <w:rFonts w:ascii="Times New Roman" w:hAnsi="Times New Roman"/>
          <w:sz w:val="24"/>
        </w:rPr>
        <w:t xml:space="preserve"> </w:t>
      </w:r>
      <w:r w:rsidR="00A76977" w:rsidRPr="00ED5F8D">
        <w:rPr>
          <w:rFonts w:ascii="Times New Roman" w:hAnsi="Times New Roman"/>
          <w:sz w:val="24"/>
        </w:rPr>
        <w:t xml:space="preserve">ambulatory operatory room </w:t>
      </w:r>
      <w:r w:rsidRPr="00ED5F8D">
        <w:rPr>
          <w:rFonts w:ascii="Times New Roman" w:hAnsi="Times New Roman"/>
          <w:sz w:val="24"/>
        </w:rPr>
        <w:t xml:space="preserve"> (34,5%). </w:t>
      </w:r>
      <w:proofErr w:type="spellStart"/>
      <w:r w:rsidR="00A76977" w:rsidRPr="00ED5F8D">
        <w:rPr>
          <w:rFonts w:ascii="Times New Roman" w:hAnsi="Times New Roman"/>
          <w:sz w:val="24"/>
        </w:rPr>
        <w:t>Desflurane</w:t>
      </w:r>
      <w:proofErr w:type="spellEnd"/>
      <w:r w:rsidR="00A76977" w:rsidRPr="00ED5F8D">
        <w:rPr>
          <w:rFonts w:ascii="Times New Roman" w:hAnsi="Times New Roman"/>
          <w:sz w:val="24"/>
        </w:rPr>
        <w:t xml:space="preserve"> assessment was more frequently above the upper limit</w:t>
      </w:r>
      <w:r w:rsidR="007F05F5" w:rsidRPr="00ED5F8D">
        <w:rPr>
          <w:rFonts w:ascii="Times New Roman" w:hAnsi="Times New Roman"/>
          <w:sz w:val="24"/>
        </w:rPr>
        <w:t xml:space="preserve"> of</w:t>
      </w:r>
      <w:r w:rsidR="00A76977" w:rsidRPr="00ED5F8D">
        <w:rPr>
          <w:rFonts w:ascii="Times New Roman" w:hAnsi="Times New Roman"/>
          <w:sz w:val="24"/>
        </w:rPr>
        <w:t xml:space="preserve"> threshold value</w:t>
      </w:r>
      <w:r w:rsidRPr="00ED5F8D">
        <w:rPr>
          <w:rFonts w:ascii="Times New Roman" w:hAnsi="Times New Roman"/>
          <w:sz w:val="24"/>
        </w:rPr>
        <w:t xml:space="preserve"> (16</w:t>
      </w:r>
      <w:proofErr w:type="gramStart"/>
      <w:r w:rsidRPr="00ED5F8D">
        <w:rPr>
          <w:rFonts w:ascii="Times New Roman" w:hAnsi="Times New Roman"/>
          <w:sz w:val="24"/>
        </w:rPr>
        <w:t>,7</w:t>
      </w:r>
      <w:proofErr w:type="gramEnd"/>
      <w:r w:rsidRPr="00ED5F8D">
        <w:rPr>
          <w:rFonts w:ascii="Times New Roman" w:hAnsi="Times New Roman"/>
          <w:sz w:val="24"/>
        </w:rPr>
        <w:t>%).</w:t>
      </w:r>
    </w:p>
    <w:p w:rsidR="004A125F" w:rsidRPr="0042755E" w:rsidRDefault="00956393" w:rsidP="00502299">
      <w:pPr>
        <w:pStyle w:val="Corpo"/>
      </w:pPr>
      <w:r w:rsidRPr="00502299">
        <w:rPr>
          <w:b/>
          <w:bCs/>
          <w:lang w:val="en-US"/>
        </w:rPr>
        <w:t>Discussion:</w:t>
      </w:r>
      <w:r w:rsidRPr="00502299">
        <w:rPr>
          <w:lang w:val="en-US"/>
        </w:rPr>
        <w:t xml:space="preserve"> </w:t>
      </w:r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In </w:t>
      </w:r>
      <w:r w:rsidR="0042755E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</w:t>
      </w:r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urn </w:t>
      </w:r>
      <w:r w:rsidR="0042755E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</w:t>
      </w:r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nit patients, sedation/general anest</w:t>
      </w:r>
      <w:r w:rsidR="004A125F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</w:t>
      </w:r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esia is the most commonly used anesthesia and the </w:t>
      </w:r>
      <w:proofErr w:type="spellStart"/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inalatory</w:t>
      </w:r>
      <w:proofErr w:type="spellEnd"/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route is frequently used.</w:t>
      </w:r>
      <w:r w:rsidR="007F05F5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A76977" w:rsidRPr="00502299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 the</w:t>
      </w:r>
      <w:r w:rsidR="00A76977" w:rsidRPr="00502299">
        <w:rPr>
          <w:lang w:val="en-US"/>
        </w:rPr>
        <w:t xml:space="preserve"> </w:t>
      </w:r>
      <w:r w:rsidR="006C20DA" w:rsidRPr="00502299">
        <w:rPr>
          <w:lang w:val="en-US"/>
        </w:rPr>
        <w:t>TAC/MRI</w:t>
      </w:r>
      <w:r w:rsidR="00A76977" w:rsidRPr="00502299">
        <w:rPr>
          <w:lang w:val="en-US"/>
        </w:rPr>
        <w:t xml:space="preserve"> department, the small number of air cycling per hour and the frequently used of a</w:t>
      </w:r>
      <w:r w:rsidR="004A125F" w:rsidRPr="00502299">
        <w:rPr>
          <w:lang w:val="en-US"/>
        </w:rPr>
        <w:t>n</w:t>
      </w:r>
      <w:r w:rsidR="00A76977" w:rsidRPr="00502299">
        <w:rPr>
          <w:lang w:val="en-US"/>
        </w:rPr>
        <w:t xml:space="preserve"> open ventilation system may explain the results.</w:t>
      </w:r>
      <w:r w:rsidR="001D5691" w:rsidRPr="00502299">
        <w:rPr>
          <w:lang w:val="en-US"/>
        </w:rPr>
        <w:t xml:space="preserve"> </w:t>
      </w:r>
      <w:proofErr w:type="spellStart"/>
      <w:r w:rsidR="00A76977" w:rsidRPr="0042755E">
        <w:t>Desflurane</w:t>
      </w:r>
      <w:proofErr w:type="spellEnd"/>
      <w:r w:rsidR="00A76977" w:rsidRPr="0042755E">
        <w:t xml:space="preserve">, </w:t>
      </w:r>
      <w:proofErr w:type="spellStart"/>
      <w:r w:rsidR="00A76977" w:rsidRPr="0042755E">
        <w:t>being</w:t>
      </w:r>
      <w:proofErr w:type="spellEnd"/>
      <w:r w:rsidR="00A76977" w:rsidRPr="0042755E">
        <w:t xml:space="preserve"> </w:t>
      </w:r>
      <w:proofErr w:type="spellStart"/>
      <w:r w:rsidR="00A76977" w:rsidRPr="0042755E">
        <w:t>odourless</w:t>
      </w:r>
      <w:proofErr w:type="spellEnd"/>
      <w:r w:rsidR="00A76977" w:rsidRPr="0042755E">
        <w:t xml:space="preserve">, </w:t>
      </w:r>
      <w:proofErr w:type="spellStart"/>
      <w:r w:rsidR="00A76977" w:rsidRPr="0042755E">
        <w:t>may</w:t>
      </w:r>
      <w:proofErr w:type="spellEnd"/>
      <w:r w:rsidR="00A76977" w:rsidRPr="0042755E">
        <w:t xml:space="preserve"> </w:t>
      </w:r>
      <w:proofErr w:type="spellStart"/>
      <w:r w:rsidR="00A76977" w:rsidRPr="0042755E">
        <w:t>be</w:t>
      </w:r>
      <w:proofErr w:type="spellEnd"/>
      <w:r w:rsidR="00A76977" w:rsidRPr="0042755E">
        <w:t xml:space="preserve"> </w:t>
      </w:r>
      <w:proofErr w:type="spellStart"/>
      <w:r w:rsidR="00A76977" w:rsidRPr="0042755E">
        <w:t>connected</w:t>
      </w:r>
      <w:proofErr w:type="spellEnd"/>
      <w:r w:rsidR="00A76977" w:rsidRPr="0042755E">
        <w:t xml:space="preserve"> to </w:t>
      </w:r>
      <w:proofErr w:type="spellStart"/>
      <w:r w:rsidR="00A76977" w:rsidRPr="0042755E">
        <w:t>undetected</w:t>
      </w:r>
      <w:proofErr w:type="spellEnd"/>
      <w:r w:rsidR="00A76977" w:rsidRPr="0042755E">
        <w:t xml:space="preserve"> escape.</w:t>
      </w:r>
    </w:p>
    <w:p w:rsidR="00956393" w:rsidRPr="0042755E" w:rsidRDefault="00956393" w:rsidP="00502299">
      <w:pPr>
        <w:pStyle w:val="Corp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bookmarkStart w:id="0" w:name="_GoBack"/>
      <w:r w:rsidRPr="00085D4C">
        <w:rPr>
          <w:b/>
          <w:bCs/>
          <w:lang w:val="en-US"/>
        </w:rPr>
        <w:t>Conclusion:</w:t>
      </w:r>
      <w:r w:rsidRPr="00085D4C">
        <w:rPr>
          <w:lang w:val="en-US"/>
        </w:rPr>
        <w:t xml:space="preserve"> </w:t>
      </w:r>
      <w:bookmarkEnd w:id="0"/>
      <w:r w:rsidR="004A125F" w:rsidRPr="00085D4C">
        <w:rPr>
          <w:lang w:val="en-US"/>
        </w:rPr>
        <w:t>Th</w:t>
      </w:r>
      <w:r w:rsidR="0042755E" w:rsidRPr="00085D4C">
        <w:rPr>
          <w:lang w:val="en-US"/>
        </w:rPr>
        <w:t>e</w:t>
      </w:r>
      <w:r w:rsidR="004A125F" w:rsidRPr="00085D4C">
        <w:rPr>
          <w:lang w:val="en-US"/>
        </w:rPr>
        <w:t xml:space="preserve"> places with more occupational risk were the</w:t>
      </w:r>
      <w:r w:rsidR="0042755E" w:rsidRPr="00085D4C">
        <w:rPr>
          <w:lang w:val="en-US"/>
        </w:rPr>
        <w:t xml:space="preserve"> Burn Unit,</w:t>
      </w:r>
      <w:r w:rsidR="004A125F" w:rsidRPr="00085D4C">
        <w:rPr>
          <w:lang w:val="en-US"/>
        </w:rPr>
        <w:t xml:space="preserve"> </w:t>
      </w:r>
      <w:r w:rsidR="001D5691" w:rsidRPr="00085D4C">
        <w:rPr>
          <w:lang w:val="en-US"/>
        </w:rPr>
        <w:t>TAC/MRI</w:t>
      </w:r>
      <w:r w:rsidR="004A125F" w:rsidRPr="00085D4C">
        <w:rPr>
          <w:lang w:val="en-US"/>
        </w:rPr>
        <w:t xml:space="preserve"> and ambulatory operatory room.</w:t>
      </w:r>
      <w:r w:rsidR="007F05F5" w:rsidRPr="00085D4C">
        <w:rPr>
          <w:lang w:val="en-US"/>
        </w:rPr>
        <w:t xml:space="preserve"> </w:t>
      </w:r>
      <w:r w:rsidR="004A125F" w:rsidRPr="00085D4C">
        <w:rPr>
          <w:lang w:val="en-US"/>
        </w:rPr>
        <w:t>Inadequate ventilation doesn´t seem to explain the majority of out of limit values.</w:t>
      </w:r>
      <w:r w:rsidR="007F05F5" w:rsidRPr="00085D4C">
        <w:rPr>
          <w:lang w:val="en-US"/>
        </w:rPr>
        <w:t xml:space="preserve"> </w:t>
      </w:r>
      <w:r w:rsidR="004A125F" w:rsidRPr="00085D4C">
        <w:rPr>
          <w:lang w:val="en-US"/>
        </w:rPr>
        <w:t>It´s necessary the rigorous assessment of anesthe</w:t>
      </w:r>
      <w:r w:rsidR="007F05F5" w:rsidRPr="00085D4C">
        <w:rPr>
          <w:lang w:val="en-US"/>
        </w:rPr>
        <w:t>t</w:t>
      </w:r>
      <w:r w:rsidR="004A125F" w:rsidRPr="00085D4C">
        <w:rPr>
          <w:lang w:val="en-US"/>
        </w:rPr>
        <w:t>ic gases in the Hospital Environment</w:t>
      </w:r>
      <w:proofErr w:type="gramStart"/>
      <w:r w:rsidR="004A125F" w:rsidRPr="00085D4C">
        <w:rPr>
          <w:lang w:val="en-US"/>
        </w:rPr>
        <w:t>.</w:t>
      </w:r>
      <w:r w:rsidRPr="0042755E">
        <w:rPr>
          <w:rStyle w:val="TEXTO-NEGRITA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5691" w:rsidRPr="007C5869" w:rsidRDefault="001D5691" w:rsidP="007C5869">
      <w:pPr>
        <w:pStyle w:val="Style1"/>
        <w:spacing w:before="0" w:after="0" w:line="480" w:lineRule="auto"/>
        <w:outlineLvl w:val="0"/>
        <w:rPr>
          <w:rFonts w:ascii="Times New Roman" w:hAnsi="Times New Roman" w:cs="Times New Roman"/>
          <w:b w:val="0"/>
          <w:caps w:val="0"/>
          <w:sz w:val="24"/>
          <w:szCs w:val="24"/>
          <w:lang w:val="en-US"/>
        </w:rPr>
      </w:pPr>
    </w:p>
    <w:p w:rsidR="00D90C0E" w:rsidRPr="007C5869" w:rsidRDefault="001D5691" w:rsidP="007C5869">
      <w:pPr>
        <w:pStyle w:val="Style1"/>
        <w:spacing w:before="0" w:after="0" w:line="480" w:lineRule="auto"/>
        <w:outlineLvl w:val="0"/>
        <w:rPr>
          <w:rFonts w:ascii="Times New Roman" w:hAnsi="Times New Roman" w:cs="Times New Roman"/>
          <w:b w:val="0"/>
          <w:caps w:val="0"/>
          <w:sz w:val="24"/>
          <w:szCs w:val="24"/>
          <w:lang w:val="en-US"/>
        </w:rPr>
      </w:pPr>
      <w:r w:rsidRPr="007C5869">
        <w:rPr>
          <w:rFonts w:ascii="Times New Roman" w:hAnsi="Times New Roman" w:cs="Times New Roman"/>
          <w:b w:val="0"/>
          <w:caps w:val="0"/>
          <w:sz w:val="24"/>
          <w:szCs w:val="24"/>
          <w:lang w:val="en-US"/>
        </w:rPr>
        <w:lastRenderedPageBreak/>
        <w:t xml:space="preserve">Key –words: </w:t>
      </w:r>
      <w:r w:rsidR="00D90C0E" w:rsidRPr="007C5869">
        <w:rPr>
          <w:rFonts w:ascii="Times New Roman" w:hAnsi="Times New Roman" w:cs="Times New Roman"/>
          <w:b w:val="0"/>
          <w:caps w:val="0"/>
          <w:sz w:val="24"/>
          <w:szCs w:val="24"/>
          <w:lang w:val="en-US"/>
        </w:rPr>
        <w:t>Occupational Exposure, Operating rooms, Anesthetic Gases</w:t>
      </w:r>
    </w:p>
    <w:p w:rsidR="00BC4890" w:rsidRDefault="00BC4890" w:rsidP="007C5869">
      <w:pPr>
        <w:pStyle w:val="Style1"/>
        <w:spacing w:before="0" w:after="0" w:line="480" w:lineRule="auto"/>
        <w:rPr>
          <w:rFonts w:ascii="Times New Roman" w:hAnsi="Times New Roman" w:cs="Times New Roman"/>
          <w:bCs/>
          <w:caps w:val="0"/>
          <w:sz w:val="24"/>
          <w:szCs w:val="24"/>
          <w:lang w:val="en-US"/>
        </w:rPr>
      </w:pPr>
    </w:p>
    <w:p w:rsidR="006015B8" w:rsidRDefault="006015B8" w:rsidP="007C5869">
      <w:pPr>
        <w:pStyle w:val="Style1"/>
        <w:spacing w:before="0" w:after="0" w:line="480" w:lineRule="auto"/>
        <w:rPr>
          <w:rFonts w:ascii="Times New Roman" w:hAnsi="Times New Roman" w:cs="Times New Roman"/>
          <w:bCs/>
          <w:caps w:val="0"/>
          <w:sz w:val="24"/>
          <w:szCs w:val="24"/>
          <w:lang w:val="en-US"/>
        </w:rPr>
      </w:pPr>
    </w:p>
    <w:p w:rsidR="006015B8" w:rsidRDefault="006015B8" w:rsidP="007C5869">
      <w:pPr>
        <w:pStyle w:val="Style1"/>
        <w:spacing w:before="0" w:after="0" w:line="480" w:lineRule="auto"/>
        <w:rPr>
          <w:rFonts w:ascii="Times New Roman" w:hAnsi="Times New Roman" w:cs="Times New Roman"/>
          <w:bCs/>
          <w:caps w:val="0"/>
          <w:sz w:val="24"/>
          <w:szCs w:val="24"/>
          <w:lang w:val="en-US"/>
        </w:rPr>
      </w:pPr>
    </w:p>
    <w:p w:rsidR="006015B8" w:rsidRPr="007C5869" w:rsidRDefault="006015B8" w:rsidP="007C5869">
      <w:pPr>
        <w:pStyle w:val="Style1"/>
        <w:spacing w:before="0" w:after="0" w:line="480" w:lineRule="auto"/>
        <w:rPr>
          <w:rFonts w:ascii="Times New Roman" w:hAnsi="Times New Roman" w:cs="Times New Roman"/>
          <w:bCs/>
          <w:caps w:val="0"/>
          <w:sz w:val="24"/>
          <w:szCs w:val="24"/>
          <w:lang w:val="en-US"/>
        </w:rPr>
      </w:pPr>
    </w:p>
    <w:p w:rsidR="00566E47" w:rsidRPr="007C5869" w:rsidRDefault="00566E47" w:rsidP="007C5869">
      <w:pPr>
        <w:pStyle w:val="Style1"/>
        <w:spacing w:before="0" w:after="0" w:line="480" w:lineRule="auto"/>
        <w:rPr>
          <w:rFonts w:ascii="Times New Roman" w:hAnsi="Times New Roman" w:cs="Times New Roman"/>
          <w:bCs/>
          <w:caps w:val="0"/>
          <w:sz w:val="24"/>
          <w:szCs w:val="24"/>
          <w:lang w:val="en-US"/>
        </w:rPr>
      </w:pPr>
    </w:p>
    <w:p w:rsidR="008473C2" w:rsidRPr="007C5869" w:rsidRDefault="00327065" w:rsidP="007C5869">
      <w:pPr>
        <w:pStyle w:val="Style1"/>
        <w:spacing w:before="0" w:after="0" w:line="480" w:lineRule="auto"/>
        <w:outlineLvl w:val="0"/>
        <w:rPr>
          <w:rFonts w:ascii="Times New Roman" w:hAnsi="Times New Roman" w:cs="Times New Roman"/>
          <w:bCs/>
          <w:caps w:val="0"/>
          <w:sz w:val="24"/>
          <w:szCs w:val="24"/>
        </w:rPr>
      </w:pPr>
      <w:r w:rsidRPr="007C5869">
        <w:rPr>
          <w:rFonts w:ascii="Times New Roman" w:hAnsi="Times New Roman" w:cs="Times New Roman"/>
          <w:bCs/>
          <w:caps w:val="0"/>
          <w:sz w:val="24"/>
          <w:szCs w:val="24"/>
        </w:rPr>
        <w:t xml:space="preserve">1. </w:t>
      </w:r>
      <w:r w:rsidR="00EA7D3B" w:rsidRPr="007C5869">
        <w:rPr>
          <w:rFonts w:ascii="Times New Roman" w:hAnsi="Times New Roman" w:cs="Times New Roman"/>
          <w:bCs/>
          <w:caps w:val="0"/>
          <w:sz w:val="24"/>
          <w:szCs w:val="24"/>
        </w:rPr>
        <w:t>INTRODU</w:t>
      </w:r>
      <w:r w:rsidR="0095415B" w:rsidRPr="007C5869">
        <w:rPr>
          <w:rFonts w:ascii="Times New Roman" w:hAnsi="Times New Roman" w:cs="Times New Roman"/>
          <w:bCs/>
          <w:caps w:val="0"/>
          <w:sz w:val="24"/>
          <w:szCs w:val="24"/>
        </w:rPr>
        <w:t>ÇÃO</w:t>
      </w:r>
    </w:p>
    <w:p w:rsidR="0095415B" w:rsidRPr="007C5869" w:rsidRDefault="0095415B" w:rsidP="007C5869">
      <w:pPr>
        <w:pStyle w:val="NoParagraphStyle"/>
        <w:suppressAutoHyphens/>
        <w:spacing w:line="480" w:lineRule="auto"/>
        <w:jc w:val="both"/>
        <w:rPr>
          <w:rStyle w:val="TEXTO"/>
          <w:rFonts w:ascii="Times New Roman" w:hAnsi="Times New Roman" w:cs="Times New Roman"/>
          <w:sz w:val="24"/>
          <w:szCs w:val="24"/>
          <w:lang w:val="pt-PT"/>
        </w:rPr>
      </w:pP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Apesar dos efeitos </w:t>
      </w:r>
      <w:r w:rsidR="001D5691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adversos dos </w:t>
      </w: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gases anestésicos </w:t>
      </w:r>
      <w:r w:rsidR="001D5691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para a saúde </w:t>
      </w: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serem controversos, </w:t>
      </w:r>
      <w:r w:rsidR="0035793D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National</w:t>
      </w:r>
      <w:proofErr w:type="spellEnd"/>
      <w:r w:rsidR="001D5691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Institute</w:t>
      </w:r>
      <w:proofErr w:type="spellEnd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 xml:space="preserve"> for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Occupational</w:t>
      </w:r>
      <w:proofErr w:type="spellEnd"/>
      <w:r w:rsidR="001D5691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Safety</w:t>
      </w:r>
      <w:proofErr w:type="spellEnd"/>
      <w:r w:rsidR="001D5691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and</w:t>
      </w:r>
      <w:proofErr w:type="spellEnd"/>
      <w:r w:rsidR="001D5691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  <w:proofErr w:type="spellStart"/>
      <w:r w:rsidR="0035793D" w:rsidRPr="00085D4C">
        <w:rPr>
          <w:rStyle w:val="TEXTO"/>
          <w:rFonts w:ascii="Times New Roman" w:hAnsi="Times New Roman" w:cs="Times New Roman"/>
          <w:iCs/>
          <w:sz w:val="24"/>
          <w:szCs w:val="24"/>
          <w:lang w:val="pt-PT"/>
        </w:rPr>
        <w:t>Health</w:t>
      </w:r>
      <w:proofErr w:type="spellEnd"/>
      <w:r w:rsidR="0035793D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 (NIOSH)</w:t>
      </w: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 recomenda valores limite de exposição (VLE) relativamente restritos</w:t>
      </w:r>
      <w:r w:rsidR="00737FB5" w:rsidRPr="007C5869">
        <w:rPr>
          <w:rStyle w:val="TEXTO"/>
          <w:rFonts w:ascii="Times New Roman" w:hAnsi="Times New Roman" w:cs="Times New Roman"/>
          <w:sz w:val="24"/>
          <w:szCs w:val="24"/>
          <w:vertAlign w:val="superscript"/>
          <w:lang w:val="pt-PT"/>
        </w:rPr>
        <w:t>1</w:t>
      </w: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>.</w:t>
      </w:r>
      <w:r w:rsidR="006015B8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91804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Os efeitos reprodutivos são a principal preocupação relativamente à exposição ocupacional aos agentes anestésicos, particularmente o risco de abortamento espontâneo e a </w:t>
      </w:r>
      <w:proofErr w:type="spellStart"/>
      <w:r w:rsidR="00D91804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>teratogenici</w:t>
      </w:r>
      <w:r w:rsidR="007823B3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>dade</w:t>
      </w:r>
      <w:proofErr w:type="spellEnd"/>
      <w:r w:rsidR="007823B3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>, nomeadamente associada à exposição</w:t>
      </w:r>
      <w:r w:rsidR="00D91804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 ao protóxido de azoto</w:t>
      </w:r>
      <w:r w:rsidR="00737FB5" w:rsidRPr="007C5869">
        <w:rPr>
          <w:rStyle w:val="TEXTO"/>
          <w:rFonts w:ascii="Times New Roman" w:hAnsi="Times New Roman" w:cs="Times New Roman"/>
          <w:sz w:val="24"/>
          <w:szCs w:val="24"/>
          <w:vertAlign w:val="superscript"/>
          <w:lang w:val="pt-PT"/>
        </w:rPr>
        <w:t>2</w:t>
      </w:r>
      <w:r w:rsidR="00D91804"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>.</w:t>
      </w:r>
      <w:r w:rsidRPr="007C5869">
        <w:rPr>
          <w:rStyle w:val="TEXTO"/>
          <w:rFonts w:ascii="Times New Roman" w:hAnsi="Times New Roman" w:cs="Times New Roman"/>
          <w:sz w:val="24"/>
          <w:szCs w:val="24"/>
          <w:lang w:val="pt-PT"/>
        </w:rPr>
        <w:t xml:space="preserve"> No bloco operatório existem múltiplas f</w:t>
      </w:r>
      <w:r w:rsidRPr="007C5869">
        <w:rPr>
          <w:rFonts w:ascii="Times New Roman" w:hAnsi="Times New Roman" w:cs="Times New Roman"/>
          <w:lang w:val="pt-PT"/>
        </w:rPr>
        <w:t xml:space="preserve">ontes potenciais de fuga de gás anestésico para a atmosfera incluindo as válvulas de escape, conexões no circuito </w:t>
      </w:r>
      <w:proofErr w:type="spellStart"/>
      <w:r w:rsidRPr="007C5869">
        <w:rPr>
          <w:rFonts w:ascii="Times New Roman" w:hAnsi="Times New Roman" w:cs="Times New Roman"/>
          <w:lang w:val="pt-PT"/>
        </w:rPr>
        <w:t>ventilatório</w:t>
      </w:r>
      <w:proofErr w:type="spellEnd"/>
      <w:r w:rsidRPr="007C5869">
        <w:rPr>
          <w:rFonts w:ascii="Times New Roman" w:hAnsi="Times New Roman" w:cs="Times New Roman"/>
          <w:lang w:val="pt-PT"/>
        </w:rPr>
        <w:t>, defeitos nas traqueias de plástico, nos balões de insuflação, nos foles do ventilador ou conector em Y. A técnica anestésica seleccionada, o tipo de material utilizado e práticas inadequadas (tais como válvulas de controlo de fluxo de saída de gás dos vaporizadores abertas após a sua utilização ou derrame de líquidos anestésicos inalatórios), podem também contribuir para a fuga de anestésicos inalatórios</w:t>
      </w:r>
      <w:r w:rsidR="00737FB5" w:rsidRPr="007C5869">
        <w:rPr>
          <w:rFonts w:ascii="Times New Roman" w:hAnsi="Times New Roman" w:cs="Times New Roman"/>
          <w:lang w:val="pt-PT"/>
        </w:rPr>
        <w:t xml:space="preserve"> para o ar ambiente</w:t>
      </w:r>
      <w:r w:rsidRPr="007C5869">
        <w:rPr>
          <w:rFonts w:ascii="Times New Roman" w:hAnsi="Times New Roman" w:cs="Times New Roman"/>
          <w:lang w:val="pt-PT"/>
        </w:rPr>
        <w:t>.</w:t>
      </w:r>
    </w:p>
    <w:p w:rsidR="008B7D84" w:rsidRPr="007C5869" w:rsidRDefault="0095415B" w:rsidP="007C586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lang w:val="pt-PT" w:eastAsia="pt-PT" w:bidi="th-TH"/>
        </w:rPr>
      </w:pPr>
      <w:r w:rsidRPr="007C5869">
        <w:rPr>
          <w:rStyle w:val="tw4winMark"/>
          <w:rFonts w:ascii="Times New Roman" w:hAnsi="Times New Roman"/>
          <w:sz w:val="24"/>
          <w:highlight w:val="yellow"/>
          <w:lang w:val="pt-PT"/>
        </w:rPr>
        <w:t>{0&gt;</w:t>
      </w:r>
      <w:r w:rsidRPr="007C5869">
        <w:rPr>
          <w:rStyle w:val="TEXTO"/>
          <w:rFonts w:ascii="Times New Roman" w:hAnsi="Times New Roman" w:cs="Times New Roman"/>
          <w:b/>
          <w:noProof/>
          <w:vanish/>
          <w:sz w:val="24"/>
          <w:szCs w:val="24"/>
          <w:highlight w:val="yellow"/>
          <w:lang w:val="pt-PT"/>
        </w:rPr>
        <w:t>(Table 1)</w:t>
      </w:r>
      <w:r w:rsidRPr="007C5869">
        <w:rPr>
          <w:rStyle w:val="tw4winMark"/>
          <w:rFonts w:ascii="Times New Roman" w:hAnsi="Times New Roman"/>
          <w:sz w:val="24"/>
          <w:highlight w:val="yellow"/>
          <w:lang w:val="pt-PT"/>
        </w:rPr>
        <w:t>&lt;}89{&lt;0}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 xml:space="preserve"> As orientações da NIOSH estabelecem os valores limite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de exposição (VLE) aos agentes anestésicos</w:t>
      </w:r>
      <w:r w:rsidR="002317D6">
        <w:rPr>
          <w:rFonts w:ascii="Times New Roman" w:hAnsi="Times New Roman"/>
          <w:sz w:val="24"/>
          <w:vertAlign w:val="superscript"/>
          <w:lang w:val="pt-PT" w:eastAsia="pt-PT" w:bidi="th-TH"/>
        </w:rPr>
        <w:t>1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. Estas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orientações basearam-se essencialmente num estudo de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1974 e, até à data, não foram actualizadas.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A necessidade de actualização das orientações da NIOSH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tem sido referida por várias entidades e profissionais,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incluindo o autor do estudo de 1974. É consensual que os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VLE praticados poderão não garantir a máxima segurança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="008B7D84" w:rsidRPr="007C5869">
        <w:rPr>
          <w:rFonts w:ascii="Times New Roman" w:hAnsi="Times New Roman"/>
          <w:sz w:val="24"/>
          <w:lang w:val="pt-PT" w:eastAsia="pt-PT" w:bidi="th-TH"/>
        </w:rPr>
        <w:t>dos profissionais que trabalham com gases anestésicos.</w:t>
      </w:r>
    </w:p>
    <w:p w:rsidR="00737FB5" w:rsidRPr="007C5869" w:rsidRDefault="008B7D84" w:rsidP="007C586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lang w:val="pt-PT" w:eastAsia="pt-PT" w:bidi="th-TH"/>
        </w:rPr>
      </w:pPr>
      <w:r w:rsidRPr="007C5869">
        <w:rPr>
          <w:rFonts w:ascii="Times New Roman" w:hAnsi="Times New Roman"/>
          <w:sz w:val="24"/>
          <w:lang w:val="pt-PT" w:eastAsia="pt-PT" w:bidi="th-TH"/>
        </w:rPr>
        <w:t>Adicionalmente, hoje utilizam-se novos fármacos anestésicos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>para os quais não estão definidos VLE, sendo utilizados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>valores de fármacos do mesmo grupo terapêutico. Do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 xml:space="preserve">grupo dos anestésicos </w:t>
      </w:r>
      <w:r w:rsidRPr="007C5869">
        <w:rPr>
          <w:rFonts w:ascii="Times New Roman" w:hAnsi="Times New Roman"/>
          <w:sz w:val="24"/>
          <w:lang w:val="pt-PT" w:eastAsia="pt-PT" w:bidi="th-TH"/>
        </w:rPr>
        <w:lastRenderedPageBreak/>
        <w:t>halogenados, apenas está publicado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 xml:space="preserve">o VLE do </w:t>
      </w:r>
      <w:proofErr w:type="spellStart"/>
      <w:r w:rsidRPr="007C5869">
        <w:rPr>
          <w:rFonts w:ascii="Times New Roman" w:hAnsi="Times New Roman"/>
          <w:sz w:val="24"/>
          <w:lang w:val="pt-PT" w:eastAsia="pt-PT" w:bidi="th-TH"/>
        </w:rPr>
        <w:t>isoflurano</w:t>
      </w:r>
      <w:proofErr w:type="spellEnd"/>
      <w:r w:rsidRPr="007C5869">
        <w:rPr>
          <w:rFonts w:ascii="Times New Roman" w:hAnsi="Times New Roman"/>
          <w:sz w:val="24"/>
          <w:lang w:val="pt-PT" w:eastAsia="pt-PT" w:bidi="th-TH"/>
        </w:rPr>
        <w:t xml:space="preserve"> (2 </w:t>
      </w:r>
      <w:proofErr w:type="spellStart"/>
      <w:proofErr w:type="gramStart"/>
      <w:r w:rsidRPr="007C5869">
        <w:rPr>
          <w:rFonts w:ascii="Times New Roman" w:hAnsi="Times New Roman"/>
          <w:sz w:val="24"/>
          <w:lang w:val="pt-PT" w:eastAsia="pt-PT" w:bidi="th-TH"/>
        </w:rPr>
        <w:t>ppm</w:t>
      </w:r>
      <w:proofErr w:type="spellEnd"/>
      <w:r w:rsidRPr="007C5869">
        <w:rPr>
          <w:rFonts w:ascii="Times New Roman" w:hAnsi="Times New Roman"/>
          <w:sz w:val="24"/>
          <w:lang w:val="pt-PT" w:eastAsia="pt-PT" w:bidi="th-TH"/>
        </w:rPr>
        <w:t>)</w:t>
      </w:r>
      <w:r w:rsidR="002317D6">
        <w:rPr>
          <w:rFonts w:ascii="Times New Roman" w:hAnsi="Times New Roman"/>
          <w:sz w:val="24"/>
          <w:vertAlign w:val="superscript"/>
          <w:lang w:val="pt-PT" w:eastAsia="pt-PT" w:bidi="th-TH"/>
        </w:rPr>
        <w:t>1</w:t>
      </w:r>
      <w:r w:rsidRPr="007C5869">
        <w:rPr>
          <w:rFonts w:ascii="Times New Roman" w:hAnsi="Times New Roman"/>
          <w:sz w:val="24"/>
          <w:lang w:val="pt-PT" w:eastAsia="pt-PT" w:bidi="th-TH"/>
        </w:rPr>
        <w:t>.</w:t>
      </w:r>
      <w:proofErr w:type="gramEnd"/>
      <w:r w:rsidRPr="007C5869">
        <w:rPr>
          <w:rFonts w:ascii="Times New Roman" w:hAnsi="Times New Roman"/>
          <w:sz w:val="24"/>
          <w:lang w:val="pt-PT" w:eastAsia="pt-PT" w:bidi="th-TH"/>
        </w:rPr>
        <w:t xml:space="preserve"> Para os restantes anestésicos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>halogenados (</w:t>
      </w:r>
      <w:proofErr w:type="spellStart"/>
      <w:r w:rsidRPr="007C5869">
        <w:rPr>
          <w:rFonts w:ascii="Times New Roman" w:hAnsi="Times New Roman"/>
          <w:sz w:val="24"/>
          <w:lang w:val="pt-PT" w:eastAsia="pt-PT" w:bidi="th-TH"/>
        </w:rPr>
        <w:t>desfluorano</w:t>
      </w:r>
      <w:proofErr w:type="spellEnd"/>
      <w:r w:rsidRPr="007C5869">
        <w:rPr>
          <w:rFonts w:ascii="Times New Roman" w:hAnsi="Times New Roman"/>
          <w:sz w:val="24"/>
          <w:lang w:val="pt-PT" w:eastAsia="pt-PT" w:bidi="th-TH"/>
        </w:rPr>
        <w:t xml:space="preserve"> e </w:t>
      </w:r>
      <w:proofErr w:type="spellStart"/>
      <w:r w:rsidRPr="007C5869">
        <w:rPr>
          <w:rFonts w:ascii="Times New Roman" w:hAnsi="Times New Roman"/>
          <w:sz w:val="24"/>
          <w:lang w:val="pt-PT" w:eastAsia="pt-PT" w:bidi="th-TH"/>
        </w:rPr>
        <w:t>sevoflurano</w:t>
      </w:r>
      <w:proofErr w:type="spellEnd"/>
      <w:r w:rsidRPr="007C5869">
        <w:rPr>
          <w:rFonts w:ascii="Times New Roman" w:hAnsi="Times New Roman"/>
          <w:sz w:val="24"/>
          <w:lang w:val="pt-PT" w:eastAsia="pt-PT" w:bidi="th-TH"/>
        </w:rPr>
        <w:t>) não existem</w:t>
      </w:r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 </w:t>
      </w:r>
      <w:r w:rsidRPr="007C5869">
        <w:rPr>
          <w:rFonts w:ascii="Times New Roman" w:hAnsi="Times New Roman"/>
          <w:sz w:val="24"/>
          <w:lang w:val="pt-PT" w:eastAsia="pt-PT" w:bidi="th-TH"/>
        </w:rPr>
        <w:t xml:space="preserve">VLE validados pelo que se utiliza o VLE do </w:t>
      </w:r>
      <w:proofErr w:type="spellStart"/>
      <w:r w:rsidRPr="007C5869">
        <w:rPr>
          <w:rFonts w:ascii="Times New Roman" w:hAnsi="Times New Roman"/>
          <w:sz w:val="24"/>
          <w:lang w:val="pt-PT" w:eastAsia="pt-PT" w:bidi="th-TH"/>
        </w:rPr>
        <w:t>isoflurano</w:t>
      </w:r>
      <w:proofErr w:type="spellEnd"/>
      <w:r w:rsidR="007C5869" w:rsidRPr="007C5869">
        <w:rPr>
          <w:rFonts w:ascii="Times New Roman" w:hAnsi="Times New Roman"/>
          <w:sz w:val="24"/>
          <w:lang w:val="pt-PT" w:eastAsia="pt-PT" w:bidi="th-TH"/>
        </w:rPr>
        <w:t xml:space="preserve">. Pelo exposto, os </w:t>
      </w:r>
      <w:proofErr w:type="spellStart"/>
      <w:r w:rsidR="007C5869" w:rsidRPr="007C5869">
        <w:rPr>
          <w:rFonts w:ascii="Times New Roman" w:hAnsi="Times New Roman"/>
          <w:sz w:val="24"/>
          <w:lang w:val="pt-PT" w:eastAsia="pt-PT" w:bidi="th-TH"/>
        </w:rPr>
        <w:t>VLE</w:t>
      </w:r>
      <w:r w:rsidRPr="007C5869">
        <w:rPr>
          <w:rFonts w:ascii="Times New Roman" w:hAnsi="Times New Roman"/>
          <w:sz w:val="24"/>
          <w:lang w:val="pt-PT" w:eastAsia="pt-PT" w:bidi="th-TH"/>
        </w:rPr>
        <w:t>.</w:t>
      </w:r>
      <w:r w:rsidR="007823B3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>não</w:t>
      </w:r>
      <w:proofErr w:type="spellEnd"/>
      <w:r w:rsidR="0095415B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 xml:space="preserve"> devem ser utilizados como guia necessário ao controlo dos riscos ocupacionais e não como um limite claro entre concentrações seguras ou prejudiciais para a saúde. A monitorização ambiental é fundamental, não só para avaliar as concentrações dos gases anestésic</w:t>
      </w:r>
      <w:r w:rsidR="00566E47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>o</w:t>
      </w:r>
      <w:r w:rsidR="0095415B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 xml:space="preserve">s </w:t>
      </w:r>
      <w:r w:rsidR="00CB3297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>mas também</w:t>
      </w:r>
      <w:r w:rsidR="0095415B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 xml:space="preserve"> para aferir a eficácia das medidas de controlo, identificar potenciais fontes de fuga e adaptar a periodicidade da vigilância médica de acordo com os resultados obtidos</w:t>
      </w:r>
      <w:r w:rsidR="00737FB5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vertAlign w:val="superscript"/>
          <w:lang w:val="pt-PT"/>
        </w:rPr>
        <w:t>3</w:t>
      </w:r>
      <w:r w:rsidR="00737FB5" w:rsidRPr="007C5869">
        <w:rPr>
          <w:rStyle w:val="TEXTO"/>
          <w:rFonts w:ascii="Times New Roman" w:hAnsi="Times New Roman" w:cs="Times New Roman"/>
          <w:spacing w:val="-5"/>
          <w:sz w:val="24"/>
          <w:szCs w:val="24"/>
          <w:lang w:val="pt-PT"/>
        </w:rPr>
        <w:t xml:space="preserve">. </w:t>
      </w:r>
      <w:r w:rsidR="00737FB5" w:rsidRPr="007C5869">
        <w:rPr>
          <w:rFonts w:ascii="Times New Roman" w:hAnsi="Times New Roman"/>
          <w:sz w:val="24"/>
          <w:lang w:val="pt-PT"/>
        </w:rPr>
        <w:t xml:space="preserve">O objectivo deste trabalho foi avaliar a concentração de gases anestésicos no ar ambiente nos diferentes Blocos Operatórios na dependência do Serviço de Anestesiologia do Hospital de </w:t>
      </w:r>
      <w:proofErr w:type="spellStart"/>
      <w:r w:rsidR="00737FB5" w:rsidRPr="007C5869">
        <w:rPr>
          <w:rFonts w:ascii="Times New Roman" w:hAnsi="Times New Roman"/>
          <w:sz w:val="24"/>
          <w:lang w:val="pt-PT"/>
        </w:rPr>
        <w:t>S.João</w:t>
      </w:r>
      <w:proofErr w:type="spellEnd"/>
      <w:r w:rsidR="000945A8" w:rsidRPr="007C5869">
        <w:rPr>
          <w:rFonts w:ascii="Times New Roman" w:hAnsi="Times New Roman"/>
          <w:sz w:val="24"/>
          <w:lang w:val="pt-PT"/>
        </w:rPr>
        <w:t>,</w:t>
      </w:r>
      <w:r w:rsidR="00737FB5" w:rsidRPr="007C5869">
        <w:rPr>
          <w:rFonts w:ascii="Times New Roman" w:hAnsi="Times New Roman"/>
          <w:sz w:val="24"/>
          <w:lang w:val="pt-PT"/>
        </w:rPr>
        <w:t xml:space="preserve"> </w:t>
      </w:r>
      <w:r w:rsidR="000945A8" w:rsidRPr="007C5869">
        <w:rPr>
          <w:rFonts w:ascii="Times New Roman" w:hAnsi="Times New Roman"/>
          <w:sz w:val="24"/>
          <w:lang w:val="pt-PT"/>
        </w:rPr>
        <w:t>b</w:t>
      </w:r>
      <w:r w:rsidR="00737FB5" w:rsidRPr="007C5869">
        <w:rPr>
          <w:rFonts w:ascii="Times New Roman" w:hAnsi="Times New Roman"/>
          <w:sz w:val="24"/>
          <w:lang w:val="pt-PT"/>
        </w:rPr>
        <w:t>e</w:t>
      </w:r>
      <w:r w:rsidR="000945A8" w:rsidRPr="007C5869">
        <w:rPr>
          <w:rFonts w:ascii="Times New Roman" w:hAnsi="Times New Roman"/>
          <w:sz w:val="24"/>
          <w:lang w:val="pt-PT"/>
        </w:rPr>
        <w:t>m como</w:t>
      </w:r>
      <w:r w:rsidR="00737FB5" w:rsidRPr="007C5869">
        <w:rPr>
          <w:rFonts w:ascii="Times New Roman" w:hAnsi="Times New Roman"/>
          <w:sz w:val="24"/>
          <w:lang w:val="pt-PT"/>
        </w:rPr>
        <w:t xml:space="preserve"> na Unidade de Queimados</w:t>
      </w:r>
      <w:r w:rsidR="000945A8" w:rsidRPr="007C5869">
        <w:rPr>
          <w:rFonts w:ascii="Times New Roman" w:hAnsi="Times New Roman"/>
          <w:sz w:val="24"/>
          <w:lang w:val="pt-PT"/>
        </w:rPr>
        <w:t xml:space="preserve"> do mesmo hospital</w:t>
      </w:r>
      <w:r w:rsidR="00737FB5" w:rsidRPr="007C5869">
        <w:rPr>
          <w:rFonts w:ascii="Times New Roman" w:hAnsi="Times New Roman"/>
          <w:sz w:val="24"/>
          <w:lang w:val="pt-PT"/>
        </w:rPr>
        <w:t xml:space="preserve">, durante um período de 7 anos. </w:t>
      </w:r>
    </w:p>
    <w:p w:rsidR="00E95312" w:rsidRPr="00ED5F8D" w:rsidRDefault="00E95312" w:rsidP="00566E47">
      <w:pPr>
        <w:pStyle w:val="Ttulos"/>
        <w:spacing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C4890" w:rsidRPr="00ED5F8D" w:rsidRDefault="00327065" w:rsidP="00566E47">
      <w:pPr>
        <w:pStyle w:val="Ttulos"/>
        <w:spacing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D5F8D">
        <w:rPr>
          <w:rFonts w:ascii="Times New Roman" w:hAnsi="Times New Roman" w:cs="Times New Roman"/>
          <w:sz w:val="24"/>
          <w:szCs w:val="24"/>
          <w:lang w:val="pt-PT"/>
        </w:rPr>
        <w:t>2.</w:t>
      </w:r>
      <w:r w:rsidR="00EA7D3B" w:rsidRPr="00ED5F8D">
        <w:rPr>
          <w:rFonts w:ascii="Times New Roman" w:hAnsi="Times New Roman" w:cs="Times New Roman"/>
          <w:sz w:val="24"/>
          <w:szCs w:val="24"/>
          <w:lang w:val="pt-PT"/>
        </w:rPr>
        <w:t>MATERIA</w:t>
      </w:r>
      <w:r w:rsidR="0095415B" w:rsidRPr="00ED5F8D">
        <w:rPr>
          <w:rFonts w:ascii="Times New Roman" w:hAnsi="Times New Roman" w:cs="Times New Roman"/>
          <w:sz w:val="24"/>
          <w:szCs w:val="24"/>
          <w:lang w:val="pt-PT"/>
        </w:rPr>
        <w:t>IS E MÉTODOS</w:t>
      </w:r>
    </w:p>
    <w:p w:rsidR="0095415B" w:rsidRPr="00ED5F8D" w:rsidRDefault="0095415B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Efectuou-se uma monitorização semestral de protóxido de azoto,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e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no período compreendido entre 2005 e 2012 </w:t>
      </w:r>
      <w:r w:rsidR="000945A8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no Hospital de </w:t>
      </w:r>
      <w:proofErr w:type="spellStart"/>
      <w:r w:rsidR="000945A8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S.João</w:t>
      </w:r>
      <w:proofErr w:type="spellEnd"/>
      <w:r w:rsidR="001C0B75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em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locais onde se utilizam gases anestésicos</w:t>
      </w:r>
      <w:r w:rsidR="006C20D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, mais especificamente, nos Blocos operatórios dependentes do </w:t>
      </w:r>
      <w:r w:rsidR="000945A8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Serviço</w:t>
      </w:r>
      <w:r w:rsidR="006C20D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Anestesiologia e na Unidade de Queimados (que não está na dependência do Departamento de Anestesiologia).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A medição foi efectuada por espectro</w:t>
      </w:r>
      <w:r w:rsidR="0099735E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scopia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foto-acústica de </w:t>
      </w:r>
      <w:r w:rsidR="00085D4C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infravermelhos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. Em cada medição foi tida em consideração a concentração de dióxido de carbono no ar ambiente dado ser um bom indicador </w:t>
      </w:r>
      <w:r w:rsidR="007823B3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a qualidade do ar interior e permitir avaliar de forma indirecta a eficiência do sistema de ventilação e de exaustão (AVAC) existente.</w:t>
      </w:r>
    </w:p>
    <w:p w:rsidR="0095415B" w:rsidRPr="00ED5F8D" w:rsidRDefault="0095415B" w:rsidP="00566E47">
      <w:pPr>
        <w:pStyle w:val="NormalWeb"/>
        <w:kinsoku w:val="0"/>
        <w:overflowPunct w:val="0"/>
        <w:spacing w:before="0" w:beforeAutospacing="0" w:after="0" w:afterAutospacing="0" w:line="480" w:lineRule="auto"/>
        <w:jc w:val="both"/>
        <w:textAlignment w:val="baseline"/>
      </w:pP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Considerou-se amostra com valor não conforme quando </w:t>
      </w:r>
      <w:r w:rsidR="006431E7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esta 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apresentou um resultado </w:t>
      </w:r>
      <w:r w:rsidR="001D5691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superior ao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do respectivo VLE para qualquer uma das substâncias analisadas. Os VLE considerados foram os recomendados pelo NIOSH</w:t>
      </w:r>
      <w:r w:rsidR="000945A8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1 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nomeadamente 25 </w:t>
      </w:r>
      <w:proofErr w:type="spellStart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ppm</w:t>
      </w:r>
      <w:proofErr w:type="spellEnd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para </w:t>
      </w:r>
      <w:r w:rsidR="00E34193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rotóxido de Azoto e 2 </w:t>
      </w:r>
      <w:proofErr w:type="spellStart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ppm</w:t>
      </w:r>
      <w:proofErr w:type="spellEnd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para o </w:t>
      </w:r>
      <w:proofErr w:type="spellStart"/>
      <w:r w:rsidR="00D9510B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evoflurano</w:t>
      </w:r>
      <w:proofErr w:type="spellEnd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 e </w:t>
      </w:r>
      <w:proofErr w:type="spellStart"/>
      <w:r w:rsidR="00D9510B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esflurano</w:t>
      </w:r>
      <w:proofErr w:type="spellEnd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C4890" w:rsidRPr="00ED5F8D" w:rsidRDefault="00BC4890" w:rsidP="00502299">
      <w:pPr>
        <w:pStyle w:val="Corpo"/>
      </w:pPr>
    </w:p>
    <w:p w:rsidR="00BC4890" w:rsidRPr="00ED5F8D" w:rsidRDefault="00327065" w:rsidP="00566E47">
      <w:pPr>
        <w:pStyle w:val="Ttulos"/>
        <w:spacing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D5F8D">
        <w:rPr>
          <w:rFonts w:ascii="Times New Roman" w:hAnsi="Times New Roman" w:cs="Times New Roman"/>
          <w:sz w:val="24"/>
          <w:szCs w:val="24"/>
          <w:lang w:val="pt-PT"/>
        </w:rPr>
        <w:t>3.</w:t>
      </w:r>
      <w:r w:rsidR="00EA7D3B" w:rsidRPr="00ED5F8D">
        <w:rPr>
          <w:rFonts w:ascii="Times New Roman" w:hAnsi="Times New Roman" w:cs="Times New Roman"/>
          <w:sz w:val="24"/>
          <w:szCs w:val="24"/>
          <w:lang w:val="pt-PT"/>
        </w:rPr>
        <w:t>RESULT</w:t>
      </w:r>
      <w:r w:rsidR="0095415B" w:rsidRPr="00ED5F8D">
        <w:rPr>
          <w:rFonts w:ascii="Times New Roman" w:hAnsi="Times New Roman" w:cs="Times New Roman"/>
          <w:sz w:val="24"/>
          <w:szCs w:val="24"/>
          <w:lang w:val="pt-PT"/>
        </w:rPr>
        <w:t>ADO</w:t>
      </w:r>
      <w:r w:rsidR="00EA7D3B" w:rsidRPr="00ED5F8D">
        <w:rPr>
          <w:rFonts w:ascii="Times New Roman" w:hAnsi="Times New Roman" w:cs="Times New Roman"/>
          <w:sz w:val="24"/>
          <w:szCs w:val="24"/>
          <w:lang w:val="pt-PT"/>
        </w:rPr>
        <w:t>S</w:t>
      </w:r>
    </w:p>
    <w:p w:rsidR="006431E7" w:rsidRPr="006F30FB" w:rsidRDefault="0095415B" w:rsidP="006F30FB">
      <w:pPr>
        <w:pStyle w:val="NoParagraphStyle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800080"/>
          <w:vertAlign w:val="subscript"/>
          <w:lang w:val="pt-PT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sz w:val="24"/>
          <w:szCs w:val="24"/>
        </w:rPr>
        <w:lastRenderedPageBreak/>
        <w:t xml:space="preserve">No período considerado foram efectuadas 593 amostras para determinação da concentração de agentes anestésicos. Em 14% dos casos a concentração das substâncias analisadas foi superior ao respectivo VLE.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Os locais com maior número de resultados não </w:t>
      </w:r>
      <w:proofErr w:type="gram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conformes</w:t>
      </w:r>
      <w:proofErr w:type="gram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foram a Unidade de Queimados (54,5%), </w:t>
      </w:r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TAC/RMN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(38,6%), Cirurgia de Ambulatório (34,4%), Cirurgia Pediátrica (29,4%) e O</w:t>
      </w:r>
      <w:r w:rsidR="00D91804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torrinolaringologia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(21,9%) – tabela 1</w:t>
      </w:r>
    </w:p>
    <w:p w:rsidR="0099704E" w:rsidRPr="00ED5F8D" w:rsidRDefault="0099704E" w:rsidP="00502299">
      <w:pPr>
        <w:pStyle w:val="Corpo"/>
      </w:pPr>
    </w:p>
    <w:p w:rsidR="00EA7D3B" w:rsidRPr="00ED5F8D" w:rsidRDefault="0095415B" w:rsidP="00502299">
      <w:pPr>
        <w:pStyle w:val="Corp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hAnsi="Times New Roman" w:cs="Times New Roman"/>
          <w:sz w:val="24"/>
          <w:szCs w:val="24"/>
        </w:rPr>
        <w:t>Tabela 1 - Concentrações ambientais de agentes anestésicos: resultados não conformes (2005-2012)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</w:tblBorders>
        <w:tblLook w:val="04A0"/>
      </w:tblPr>
      <w:tblGrid>
        <w:gridCol w:w="2286"/>
        <w:gridCol w:w="1160"/>
        <w:gridCol w:w="58"/>
        <w:gridCol w:w="2051"/>
        <w:gridCol w:w="2292"/>
        <w:gridCol w:w="2008"/>
      </w:tblGrid>
      <w:tr w:rsidR="0095415B" w:rsidRPr="00085D4C" w:rsidTr="006431E7">
        <w:tc>
          <w:tcPr>
            <w:tcW w:w="2286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FFFFFF"/>
          </w:tcPr>
          <w:p w:rsidR="0095415B" w:rsidRPr="00ED5F8D" w:rsidRDefault="0095415B" w:rsidP="006431E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  <w:t>Amostras (n)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  <w:t>Resultados Acima VLE-NIOSH</w:t>
            </w:r>
          </w:p>
        </w:tc>
        <w:tc>
          <w:tcPr>
            <w:tcW w:w="2292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  <w:t>Resultados Não Conformes (%)</w:t>
            </w:r>
          </w:p>
        </w:tc>
        <w:tc>
          <w:tcPr>
            <w:tcW w:w="2008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sz w:val="24"/>
                <w:szCs w:val="24"/>
              </w:rPr>
              <w:t>Número médio de renovações de ar/hora</w:t>
            </w:r>
          </w:p>
        </w:tc>
      </w:tr>
      <w:tr w:rsidR="0095415B" w:rsidRPr="00ED5F8D" w:rsidTr="006431E7">
        <w:tc>
          <w:tcPr>
            <w:tcW w:w="228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Bloco Central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203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6,9</w:t>
            </w:r>
          </w:p>
        </w:tc>
        <w:tc>
          <w:tcPr>
            <w:tcW w:w="2008" w:type="dxa"/>
            <w:tcBorders>
              <w:top w:val="single" w:sz="4" w:space="0" w:color="auto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17,2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Estomatologia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8,7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10,8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Cirurgia Pediátrica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15,1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Cirurgia torácica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4,4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19,0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Obstetrícia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4,4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18,9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Oftalmologia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13,2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33,0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Otorrinolaringologia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21,9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19,4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Serviço de Urgência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57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14,0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14,4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1D5691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TAC/RMN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38,6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8,4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Cirurgia de Ambulatório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18,3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Unidade de Queimados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54,5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18,6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Angiografia Digital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1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nil"/>
              <w:bottom w:val="nil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17,3</w:t>
            </w:r>
          </w:p>
        </w:tc>
      </w:tr>
      <w:tr w:rsidR="0095415B" w:rsidRPr="00ED5F8D" w:rsidTr="006431E7">
        <w:tc>
          <w:tcPr>
            <w:tcW w:w="22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Neurocirurgia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1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nil"/>
              <w:bottom w:val="single" w:sz="4" w:space="0" w:color="auto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44,4</w:t>
            </w:r>
          </w:p>
        </w:tc>
      </w:tr>
      <w:tr w:rsidR="0095415B" w:rsidRPr="00ED5F8D" w:rsidTr="006431E7">
        <w:tc>
          <w:tcPr>
            <w:tcW w:w="2286" w:type="dxa"/>
            <w:tcBorders>
              <w:top w:val="single" w:sz="4" w:space="0" w:color="auto"/>
              <w:left w:val="nil"/>
              <w:bottom w:val="single" w:sz="8" w:space="0" w:color="000000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593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84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14,1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8" w:space="0" w:color="000000"/>
              <w:right w:val="nil"/>
            </w:tcBorders>
          </w:tcPr>
          <w:p w:rsidR="0095415B" w:rsidRPr="00ED5F8D" w:rsidRDefault="0095415B" w:rsidP="00566E47">
            <w:pPr>
              <w:pStyle w:val="NoParagraphStyle"/>
              <w:suppressAutoHyphens/>
              <w:spacing w:line="480" w:lineRule="auto"/>
              <w:jc w:val="center"/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5F8D">
              <w:rPr>
                <w:rStyle w:val="TEXTO-NEGRIT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</w:tbl>
    <w:p w:rsidR="006431E7" w:rsidRPr="00ED5F8D" w:rsidRDefault="000945A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 xml:space="preserve">VLE –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>valores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>limite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 xml:space="preserve"> de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>exposição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 xml:space="preserve">; NIOSH- </w:t>
      </w:r>
      <w:r w:rsidRPr="00ED5F8D">
        <w:rPr>
          <w:rStyle w:val="TEXTO"/>
          <w:rFonts w:ascii="Times New Roman" w:hAnsi="Times New Roman" w:cs="Times New Roman"/>
          <w:sz w:val="24"/>
          <w:szCs w:val="24"/>
          <w:lang w:val="en-US"/>
        </w:rPr>
        <w:t xml:space="preserve">National Institute for Occupational Safety and Health </w:t>
      </w:r>
    </w:p>
    <w:p w:rsidR="000945A8" w:rsidRPr="00ED5F8D" w:rsidRDefault="000945A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0945A8" w:rsidRPr="00ED5F8D" w:rsidRDefault="000945A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0945A8" w:rsidRDefault="0042755E" w:rsidP="0042755E">
      <w:pPr>
        <w:pStyle w:val="NoParagraphStyle"/>
        <w:tabs>
          <w:tab w:val="left" w:pos="6714"/>
        </w:tabs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  <w:tab/>
      </w:r>
    </w:p>
    <w:p w:rsidR="0042755E" w:rsidRPr="00ED5F8D" w:rsidRDefault="0042755E" w:rsidP="0042755E">
      <w:pPr>
        <w:pStyle w:val="NoParagraphStyle"/>
        <w:tabs>
          <w:tab w:val="left" w:pos="6714"/>
        </w:tabs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0945A8" w:rsidRPr="00ED5F8D" w:rsidRDefault="000945A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6431E7" w:rsidRPr="00ED5F8D" w:rsidRDefault="006F6B84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Considerando todos os locais avaliados, o</w:t>
      </w:r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foi o agente anestésico com </w:t>
      </w:r>
      <w:r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maior</w:t>
      </w:r>
      <w:r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proporção</w:t>
      </w:r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não conformidades registadas (16,7%), seguido do </w:t>
      </w:r>
      <w:proofErr w:type="spellStart"/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="006431E7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(10,2%) e do protóxido de azoto (8,9%) – Gráfico 1.</w:t>
      </w:r>
    </w:p>
    <w:p w:rsidR="006431E7" w:rsidRDefault="006431E7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317D6" w:rsidRDefault="002317D6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Pr="00ED5F8D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F96D6C" w:rsidRPr="00ED5F8D" w:rsidRDefault="000945A8" w:rsidP="000945A8">
      <w:pPr>
        <w:pStyle w:val="NoParagraphStyle"/>
        <w:suppressAutoHyphens/>
        <w:spacing w:line="480" w:lineRule="auto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Fonts w:ascii="Times New Roman" w:eastAsia="Times New Roman" w:hAnsi="Times New Roman" w:cs="Times New Roman"/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-317957</wp:posOffset>
            </wp:positionH>
            <wp:positionV relativeFrom="paragraph">
              <wp:posOffset>211012</wp:posOffset>
            </wp:positionV>
            <wp:extent cx="7049135" cy="22358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223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D6C" w:rsidRPr="00ED5F8D" w:rsidRDefault="00F96D6C" w:rsidP="00F96D6C">
      <w:pPr>
        <w:pStyle w:val="NoParagraphStyle"/>
        <w:suppressAutoHyphens/>
        <w:spacing w:line="480" w:lineRule="auto"/>
        <w:jc w:val="center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431E7" w:rsidRPr="00ED5F8D" w:rsidRDefault="006431E7" w:rsidP="006431E7">
      <w:pPr>
        <w:pStyle w:val="NoParagraphStyle"/>
        <w:suppressAutoHyphens/>
        <w:spacing w:line="480" w:lineRule="auto"/>
        <w:jc w:val="center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431E7" w:rsidRPr="00ED5F8D" w:rsidRDefault="00F96D6C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Posteriormente efectuou-se uma análise estratificada por agente anestésico em cada local onde é utilizado. Constatou-se que o maior número de não conformidades com protóxido de azoto ocorreu na Unidade de Queimados, com o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na </w:t>
      </w:r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TAC/RMN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e com o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na Unidade de Cirurgia de Ambulatório.</w:t>
      </w:r>
    </w:p>
    <w:p w:rsidR="000945A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Gráfico 1 – Proporção de “não conformidades” por gás anestésico (%)</w:t>
      </w:r>
    </w:p>
    <w:p w:rsidR="006015B8" w:rsidRPr="00ED5F8D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317D6" w:rsidRDefault="002317D6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D3619B" w:rsidRPr="00ED5F8D" w:rsidRDefault="00F96D6C" w:rsidP="00F96D6C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O protóxido de azoto apresentou maior proporção de não conformidades na Unidade de Queimados (54,5%) seguido </w:t>
      </w:r>
      <w:proofErr w:type="gram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do </w:t>
      </w:r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TAC</w:t>
      </w:r>
      <w:proofErr w:type="gramEnd"/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/RMN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(25%), Unidade de Cirurgia de Ambulatório (17,4%), Bloco de Oftalmologia (16,7%), Cirurgia Pediátrica (14,3%) e Bloco de Otorrinolaringologia (14,3%).</w:t>
      </w:r>
    </w:p>
    <w:p w:rsidR="00D3619B" w:rsidRPr="00ED5F8D" w:rsidRDefault="00F96D6C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0945A8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proporção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não conformidades com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foi superior na Unidade de Queimados (45,5%), </w:t>
      </w:r>
      <w:r w:rsidR="00D3619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TAC/RMN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(35,5%), Unidade de Cirurgia de Ambulatório (26,9%), Cirurgia Pediátrica (25,0%), Bloco de Otorrinolaringologia (15,2%) e Bloco de Oftalmologia (7,1%). </w:t>
      </w:r>
    </w:p>
    <w:p w:rsidR="00F96D6C" w:rsidRPr="00ED5F8D" w:rsidRDefault="00F96D6C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Relativamente ao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, a taxa de não conformidades foi superior na Unidade de Cirurgia de Ambulatório (50,0%), Bloco Central (17,4%) e Bloco de Oftalmologia (11,1%)</w:t>
      </w:r>
    </w:p>
    <w:p w:rsidR="006431E7" w:rsidRPr="00ED5F8D" w:rsidRDefault="00F96D6C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Finalmente verificou-se que, independentemente do gás analisado, há uma tendência para a diminuição do número de não conformidades nos últimos anos analisados (gráfico 2), nomeadamente no que diz respeito ao protóxido da azoto e ao </w:t>
      </w:r>
      <w:proofErr w:type="spell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,</w:t>
      </w:r>
    </w:p>
    <w:p w:rsidR="006431E7" w:rsidRDefault="006431E7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Pr="00ED5F8D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F96D6C" w:rsidRDefault="00F96D6C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317D6" w:rsidRPr="00ED5F8D" w:rsidRDefault="002317D6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431E7" w:rsidRPr="00ED5F8D" w:rsidRDefault="00F96D6C" w:rsidP="00F96D6C">
      <w:pPr>
        <w:pStyle w:val="NoParagraphStyle"/>
        <w:suppressAutoHyphens/>
        <w:spacing w:line="480" w:lineRule="auto"/>
        <w:jc w:val="center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Fonts w:ascii="Times New Roman" w:eastAsia="Times New Roman" w:hAnsi="Times New Roman" w:cs="Times New Roman"/>
          <w:noProof/>
          <w:lang w:val="pt-PT" w:eastAsia="pt-PT"/>
        </w:rPr>
        <w:drawing>
          <wp:inline distT="0" distB="0" distL="0" distR="0">
            <wp:extent cx="6464595" cy="2142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362" cy="214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5B8" w:rsidRPr="00ED5F8D" w:rsidRDefault="006015B8" w:rsidP="006015B8">
      <w:pPr>
        <w:pStyle w:val="NoParagraphStyle"/>
        <w:suppressAutoHyphens/>
        <w:spacing w:line="480" w:lineRule="auto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Gráfico 2 – Evolução da taxa de não conformidades (%)</w:t>
      </w:r>
    </w:p>
    <w:p w:rsidR="006431E7" w:rsidRDefault="006431E7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015B8" w:rsidRPr="00ED5F8D" w:rsidRDefault="006015B8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6431E7" w:rsidRPr="00ED5F8D" w:rsidRDefault="006431E7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12193A" w:rsidRPr="00ED5F8D" w:rsidRDefault="002317D6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TEXTO-NEGRITA"/>
          <w:rFonts w:ascii="Times New Roman" w:eastAsia="Times New Roman" w:hAnsi="Times New Roman" w:cs="Times New Roman"/>
          <w:sz w:val="24"/>
          <w:szCs w:val="24"/>
        </w:rPr>
        <w:t>4.DISCUSSÃO</w:t>
      </w:r>
      <w:r w:rsidR="006431E7" w:rsidRPr="00ED5F8D">
        <w:rPr>
          <w:rStyle w:val="TEXTO-NEGRITA"/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Style w:val="TEXTO-NEGRITA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A Unidade de Queimados foi o local</w:t>
      </w:r>
      <w:r w:rsidR="006F6B84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onde se registou a maior proporção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resultados não conformes (54,5%). Nos doentes queimados a sedação/anestesia geral é o tipo de anestes</w:t>
      </w:r>
      <w:r w:rsidR="006F6B84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ia mais frequentemente utilizada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para a realização de pensos e balneoterapia</w:t>
      </w:r>
      <w:r w:rsidR="00D3619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Estes doentes apresentam restrições à utilização de fármacos </w:t>
      </w:r>
      <w:r w:rsidR="00D3619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endovenosos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utilizados em anestesia geral, nomeadamente relaxantes neuromusculares e </w:t>
      </w:r>
      <w:r w:rsidR="00D3619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há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frequentemente dificuldade na obtenção de acessos endovenosos para administração de fármacos, sendo frequente o recurso à via ina</w:t>
      </w:r>
      <w:r w:rsidR="00D3619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latória como alternativa segura.</w:t>
      </w:r>
    </w:p>
    <w:p w:rsidR="0012193A" w:rsidRPr="00ED5F8D" w:rsidRDefault="0012193A" w:rsidP="00566E47">
      <w:pPr>
        <w:pStyle w:val="Standard"/>
        <w:spacing w:line="480" w:lineRule="auto"/>
        <w:jc w:val="both"/>
        <w:rPr>
          <w:rFonts w:cs="Times New Roman"/>
          <w:kern w:val="24"/>
        </w:rPr>
      </w:pPr>
      <w:r w:rsidRPr="00ED5F8D">
        <w:rPr>
          <w:rFonts w:cs="Times New Roman"/>
        </w:rPr>
        <w:t xml:space="preserve">No </w:t>
      </w:r>
      <w:r w:rsidRPr="00ED5F8D">
        <w:rPr>
          <w:rStyle w:val="Tipodeletrapredefinidodopargrafo1"/>
          <w:rFonts w:cs="Times New Roman"/>
        </w:rPr>
        <w:t>Bloco Operatório de Cirurgia Pediátrica</w:t>
      </w:r>
      <w:r w:rsidRPr="00ED5F8D">
        <w:rPr>
          <w:rFonts w:cs="Times New Roman"/>
        </w:rPr>
        <w:t xml:space="preserve"> existem algumas particularidades relativas à prática anestésica que podem justificar os resultados obtidos, tais como o facto de a </w:t>
      </w:r>
      <w:r w:rsidRPr="00ED5F8D">
        <w:rPr>
          <w:rFonts w:cs="Times New Roman"/>
          <w:kern w:val="24"/>
        </w:rPr>
        <w:t>indução anestésica por via inalatória acarretar risco superior de fuga do anestésico inalatório, o facto de a manutenção anestésica ser f</w:t>
      </w:r>
      <w:r w:rsidR="00AE7024" w:rsidRPr="00ED5F8D">
        <w:rPr>
          <w:rFonts w:cs="Times New Roman"/>
          <w:kern w:val="24"/>
        </w:rPr>
        <w:t xml:space="preserve">eita recorrendo ao </w:t>
      </w:r>
      <w:proofErr w:type="spellStart"/>
      <w:r w:rsidR="00AE7024" w:rsidRPr="00ED5F8D">
        <w:rPr>
          <w:rFonts w:cs="Times New Roman"/>
          <w:kern w:val="24"/>
        </w:rPr>
        <w:t>sevoflurano</w:t>
      </w:r>
      <w:proofErr w:type="spellEnd"/>
      <w:r w:rsidR="00AE7024" w:rsidRPr="00ED5F8D">
        <w:rPr>
          <w:rFonts w:cs="Times New Roman"/>
          <w:kern w:val="24"/>
        </w:rPr>
        <w:t xml:space="preserve"> (</w:t>
      </w:r>
      <w:r w:rsidRPr="00ED5F8D">
        <w:rPr>
          <w:rFonts w:cs="Times New Roman"/>
          <w:kern w:val="24"/>
        </w:rPr>
        <w:t>frequentemente exclusivamente</w:t>
      </w:r>
      <w:r w:rsidR="00AE7024" w:rsidRPr="00ED5F8D">
        <w:rPr>
          <w:rFonts w:cs="Times New Roman"/>
          <w:kern w:val="24"/>
        </w:rPr>
        <w:t xml:space="preserve">), </w:t>
      </w:r>
      <w:r w:rsidRPr="00ED5F8D">
        <w:rPr>
          <w:rFonts w:cs="Times New Roman"/>
          <w:kern w:val="24"/>
        </w:rPr>
        <w:t xml:space="preserve">a utilização de </w:t>
      </w:r>
      <w:r w:rsidR="00AE7024" w:rsidRPr="00ED5F8D">
        <w:rPr>
          <w:rFonts w:cs="Times New Roman"/>
          <w:kern w:val="24"/>
        </w:rPr>
        <w:t xml:space="preserve">tubos </w:t>
      </w:r>
      <w:proofErr w:type="spellStart"/>
      <w:r w:rsidR="00AE7024" w:rsidRPr="00ED5F8D">
        <w:rPr>
          <w:rFonts w:cs="Times New Roman"/>
          <w:kern w:val="24"/>
        </w:rPr>
        <w:t>endotraqueais</w:t>
      </w:r>
      <w:proofErr w:type="spellEnd"/>
      <w:r w:rsidR="00AE7024" w:rsidRPr="00ED5F8D">
        <w:rPr>
          <w:rFonts w:cs="Times New Roman"/>
          <w:kern w:val="24"/>
        </w:rPr>
        <w:t xml:space="preserve"> sem </w:t>
      </w:r>
      <w:proofErr w:type="spellStart"/>
      <w:r w:rsidR="00AE7024" w:rsidRPr="00ED5F8D">
        <w:rPr>
          <w:rFonts w:cs="Times New Roman"/>
          <w:kern w:val="24"/>
        </w:rPr>
        <w:t>cuff</w:t>
      </w:r>
      <w:proofErr w:type="spellEnd"/>
      <w:r w:rsidRPr="00ED5F8D">
        <w:rPr>
          <w:rFonts w:cs="Times New Roman"/>
          <w:kern w:val="24"/>
        </w:rPr>
        <w:t xml:space="preserve"> </w:t>
      </w:r>
      <w:r w:rsidR="00AE7024" w:rsidRPr="00ED5F8D">
        <w:rPr>
          <w:rFonts w:cs="Times New Roman"/>
          <w:kern w:val="24"/>
        </w:rPr>
        <w:t>e</w:t>
      </w:r>
      <w:r w:rsidRPr="00ED5F8D">
        <w:rPr>
          <w:rFonts w:cs="Times New Roman"/>
          <w:kern w:val="24"/>
        </w:rPr>
        <w:t xml:space="preserve"> a utilização de máscaras faciais durante a manutenção anestésica (</w:t>
      </w:r>
      <w:r w:rsidR="00AE7024" w:rsidRPr="00ED5F8D">
        <w:rPr>
          <w:rFonts w:cs="Times New Roman"/>
          <w:kern w:val="24"/>
        </w:rPr>
        <w:t xml:space="preserve">pela </w:t>
      </w:r>
      <w:r w:rsidRPr="00ED5F8D">
        <w:rPr>
          <w:rFonts w:cs="Times New Roman"/>
          <w:kern w:val="24"/>
        </w:rPr>
        <w:t xml:space="preserve">dificuldade na realização de selo </w:t>
      </w:r>
      <w:proofErr w:type="gramStart"/>
      <w:r w:rsidRPr="00ED5F8D">
        <w:rPr>
          <w:rFonts w:cs="Times New Roman"/>
          <w:kern w:val="24"/>
        </w:rPr>
        <w:t>adequado)</w:t>
      </w:r>
      <w:r w:rsidR="002317D6">
        <w:rPr>
          <w:rFonts w:cs="Times New Roman"/>
          <w:kern w:val="24"/>
          <w:vertAlign w:val="superscript"/>
        </w:rPr>
        <w:t>4</w:t>
      </w:r>
      <w:r w:rsidRPr="00ED5F8D">
        <w:rPr>
          <w:rFonts w:cs="Times New Roman"/>
          <w:kern w:val="24"/>
        </w:rPr>
        <w:t>.</w:t>
      </w:r>
      <w:proofErr w:type="gramEnd"/>
      <w:r w:rsidRPr="00ED5F8D">
        <w:rPr>
          <w:rFonts w:cs="Times New Roman"/>
          <w:kern w:val="24"/>
        </w:rPr>
        <w:t xml:space="preserve"> Acresce ainda o facto de o sistema de ventilação ser um sistema aberto. O facto de o recobro neste bloco operatório se encontrar muito próximo das salas de bloco poderá contribuir para o aumento da concentração dos gases anestésicos no bloco operatório.</w:t>
      </w:r>
    </w:p>
    <w:p w:rsidR="0012193A" w:rsidRPr="00ED5F8D" w:rsidRDefault="0012193A" w:rsidP="00566E47">
      <w:pPr>
        <w:pStyle w:val="NormalWeb"/>
        <w:kinsoku w:val="0"/>
        <w:overflowPunct w:val="0"/>
        <w:spacing w:before="0" w:beforeAutospacing="0" w:after="0" w:afterAutospacing="0" w:line="480" w:lineRule="auto"/>
        <w:jc w:val="both"/>
        <w:textAlignment w:val="baseline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No Bloco de Otorrin</w:t>
      </w:r>
      <w:r w:rsidR="000231EC"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 xml:space="preserve">laringologia são igualmente submetidas a cirurgia muitas </w:t>
      </w:r>
      <w:proofErr w:type="gramStart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crianças</w:t>
      </w:r>
      <w:proofErr w:type="gramEnd"/>
      <w:r w:rsidRPr="00ED5F8D"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  <w:t>, sendo as justificações para os resultados em parte comuns. Também neste bloco cirúrgico o recobro se encontra muito próximo das salas de operações.</w:t>
      </w:r>
    </w:p>
    <w:p w:rsidR="0012193A" w:rsidRPr="00ED5F8D" w:rsidRDefault="006015B8" w:rsidP="00566E47">
      <w:pPr>
        <w:pStyle w:val="Standard"/>
        <w:spacing w:line="480" w:lineRule="auto"/>
        <w:jc w:val="both"/>
        <w:rPr>
          <w:rFonts w:eastAsia="Times New Roman" w:cs="Times New Roman"/>
        </w:rPr>
      </w:pPr>
      <w:proofErr w:type="gramStart"/>
      <w:r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No </w:t>
      </w:r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TAC</w:t>
      </w:r>
      <w:proofErr w:type="gramEnd"/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/RMN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é solicitada a realização de sedaç</w:t>
      </w:r>
      <w:r w:rsidR="00AE7024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ões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para a realização de exames auxiliares de diagnóstico em diversas situações, tais como:</w:t>
      </w:r>
      <w:r w:rsidR="0012193A" w:rsidRPr="00ED5F8D">
        <w:rPr>
          <w:rFonts w:cs="Times New Roman"/>
        </w:rPr>
        <w:t xml:space="preserve"> crianças e/ou doentes não colaborantes</w:t>
      </w:r>
      <w:r w:rsidR="006431E7" w:rsidRPr="00ED5F8D">
        <w:rPr>
          <w:rFonts w:cs="Times New Roman"/>
        </w:rPr>
        <w:t>, claustrofobia</w:t>
      </w:r>
      <w:r w:rsidR="0012193A" w:rsidRPr="00ED5F8D">
        <w:rPr>
          <w:rFonts w:cs="Times New Roman"/>
        </w:rPr>
        <w:t xml:space="preserve"> </w:t>
      </w:r>
      <w:r w:rsidR="0012193A" w:rsidRPr="00ED5F8D">
        <w:rPr>
          <w:rFonts w:cs="Times New Roman"/>
        </w:rPr>
        <w:lastRenderedPageBreak/>
        <w:t>e doenças neurológicas com interferência na realização da técnica necessári</w:t>
      </w:r>
      <w:r w:rsidR="00AE7024" w:rsidRPr="00ED5F8D">
        <w:rPr>
          <w:rFonts w:cs="Times New Roman"/>
        </w:rPr>
        <w:t>a (</w:t>
      </w:r>
      <w:proofErr w:type="spellStart"/>
      <w:r w:rsidR="00AE7024" w:rsidRPr="00ED5F8D">
        <w:rPr>
          <w:rFonts w:cs="Times New Roman"/>
        </w:rPr>
        <w:t>ex</w:t>
      </w:r>
      <w:proofErr w:type="spellEnd"/>
      <w:r w:rsidR="00AE7024" w:rsidRPr="00ED5F8D">
        <w:rPr>
          <w:rFonts w:cs="Times New Roman"/>
        </w:rPr>
        <w:t>: doença de Parkinson). D</w:t>
      </w:r>
      <w:r w:rsidR="0012193A" w:rsidRPr="00ED5F8D">
        <w:rPr>
          <w:rFonts w:cs="Times New Roman"/>
        </w:rPr>
        <w:t>estacam-se alguns factores que poderão justificar os resultados obtidos, nomeadamente o deficiente número de renovações de ar por hora e a utilização frequente de um sistema de ventilação aberto. Geralmente os ex</w:t>
      </w:r>
      <w:r w:rsidR="00AE7024" w:rsidRPr="00ED5F8D">
        <w:rPr>
          <w:rFonts w:cs="Times New Roman"/>
        </w:rPr>
        <w:t>ames realizados exigem sedação</w:t>
      </w:r>
      <w:r w:rsidR="0012193A" w:rsidRPr="00ED5F8D">
        <w:rPr>
          <w:rFonts w:cs="Times New Roman"/>
        </w:rPr>
        <w:t xml:space="preserve"> de curt</w:t>
      </w:r>
      <w:r w:rsidR="00AE7024" w:rsidRPr="00ED5F8D">
        <w:rPr>
          <w:rFonts w:cs="Times New Roman"/>
        </w:rPr>
        <w:t>a duração, sendo que se evita</w:t>
      </w:r>
      <w:r w:rsidR="0012193A" w:rsidRPr="00ED5F8D">
        <w:rPr>
          <w:rFonts w:cs="Times New Roman"/>
        </w:rPr>
        <w:t xml:space="preserve"> uma manipulação invasiva da via aérea e opta-se pela utilização de fármacos com rápida eliminação. Deste modo, frequentemente é utilizada como interface de via aé</w:t>
      </w:r>
      <w:r w:rsidR="00AE7024" w:rsidRPr="00ED5F8D">
        <w:rPr>
          <w:rFonts w:cs="Times New Roman"/>
        </w:rPr>
        <w:t>rea a máscara facial</w:t>
      </w:r>
      <w:r w:rsidR="0012193A" w:rsidRPr="00ED5F8D">
        <w:rPr>
          <w:rFonts w:cs="Times New Roman"/>
        </w:rPr>
        <w:t xml:space="preserve"> com o risco de fuga a</w:t>
      </w:r>
      <w:r w:rsidR="00AE7024" w:rsidRPr="00ED5F8D">
        <w:rPr>
          <w:rFonts w:cs="Times New Roman"/>
        </w:rPr>
        <w:t>ssociado</w:t>
      </w:r>
      <w:r w:rsidR="0012193A" w:rsidRPr="00ED5F8D">
        <w:rPr>
          <w:rFonts w:cs="Times New Roman"/>
        </w:rPr>
        <w:t xml:space="preserve">. A indução e a manutenção anestésicas são maioritariamente </w:t>
      </w:r>
      <w:proofErr w:type="gramStart"/>
      <w:r w:rsidR="0012193A" w:rsidRPr="00ED5F8D">
        <w:rPr>
          <w:rFonts w:cs="Times New Roman"/>
        </w:rPr>
        <w:t>inalatórias o que implica</w:t>
      </w:r>
      <w:proofErr w:type="gramEnd"/>
      <w:r w:rsidR="0012193A" w:rsidRPr="00ED5F8D">
        <w:rPr>
          <w:rFonts w:cs="Times New Roman"/>
        </w:rPr>
        <w:t xml:space="preserve"> um elevado consumo de anestésico inalatório.</w:t>
      </w:r>
    </w:p>
    <w:p w:rsidR="0012193A" w:rsidRPr="00ED5F8D" w:rsidRDefault="0035793D" w:rsidP="00566E47">
      <w:pPr>
        <w:pStyle w:val="Standard"/>
        <w:spacing w:line="480" w:lineRule="auto"/>
        <w:jc w:val="both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Fonts w:cs="Times New Roman"/>
        </w:rPr>
        <w:t>A</w:t>
      </w:r>
      <w:r w:rsidR="0012193A" w:rsidRPr="00ED5F8D">
        <w:rPr>
          <w:rFonts w:cs="Times New Roman"/>
        </w:rPr>
        <w:t xml:space="preserve"> “cirurgia ambulatória” </w:t>
      </w:r>
      <w:r w:rsidRPr="00ED5F8D">
        <w:rPr>
          <w:rFonts w:cs="Times New Roman"/>
        </w:rPr>
        <w:t xml:space="preserve">é definida como </w:t>
      </w:r>
      <w:r w:rsidR="0012193A" w:rsidRPr="00ED5F8D">
        <w:rPr>
          <w:rFonts w:cs="Times New Roman"/>
        </w:rPr>
        <w:t xml:space="preserve">a intervenção cirúrgica programada, realizada sob anestesia geral, loco-regional ou local em regime de admissão e alta do doente no mesmo dia. Realizam-se nesta unidade um elevado número de anestesias com recurso a anestésicos inalatórios procurando evitar-se fármacos com eliminação lenta ou que possam atrasar a alta no próprio dia como pretendido. O </w:t>
      </w:r>
      <w:proofErr w:type="spellStart"/>
      <w:r w:rsidR="0012193A" w:rsidRPr="00ED5F8D">
        <w:rPr>
          <w:rFonts w:cs="Times New Roman"/>
        </w:rPr>
        <w:t>desflurano</w:t>
      </w:r>
      <w:proofErr w:type="spellEnd"/>
      <w:r w:rsidR="0012193A" w:rsidRPr="00ED5F8D">
        <w:rPr>
          <w:rFonts w:cs="Times New Roman"/>
        </w:rPr>
        <w:t xml:space="preserve"> é muito utilizado pela sua rápida eliminação e recobro rápido. </w:t>
      </w:r>
    </w:p>
    <w:p w:rsidR="006431E7" w:rsidRPr="00ED5F8D" w:rsidRDefault="0095415B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A análise da tabela 1 sugere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também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que a proporção de não conformidades não está associada à ventilação do local já que o número de renovações de ar por hora é superior ao recomendado</w:t>
      </w:r>
      <w:r w:rsidR="00CB3297" w:rsidRPr="00ED5F8D">
        <w:rPr>
          <w:rFonts w:ascii="Times New Roman" w:eastAsia="MS PGothic" w:hAnsi="Times New Roman" w:cs="Times New Roman"/>
          <w:kern w:val="24"/>
          <w:lang w:val="pt-PT"/>
        </w:rPr>
        <w:t xml:space="preserve"> pel</w:t>
      </w:r>
      <w:r w:rsidR="00E34193" w:rsidRPr="00ED5F8D">
        <w:rPr>
          <w:rFonts w:ascii="Times New Roman" w:eastAsia="MS PGothic" w:hAnsi="Times New Roman" w:cs="Times New Roman"/>
          <w:kern w:val="24"/>
          <w:lang w:val="pt-PT"/>
        </w:rPr>
        <w:t>o</w:t>
      </w:r>
      <w:r w:rsidR="001D5691" w:rsidRPr="00ED5F8D">
        <w:rPr>
          <w:rFonts w:ascii="Times New Roman" w:eastAsia="MS PGothic" w:hAnsi="Times New Roman" w:cs="Times New Roman"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American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Institute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of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Architects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Academy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of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Architecture</w:t>
      </w:r>
      <w:proofErr w:type="spellEnd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for </w:t>
      </w:r>
      <w:proofErr w:type="spellStart"/>
      <w:r w:rsidR="00CB3297" w:rsidRPr="00085D4C">
        <w:rPr>
          <w:rFonts w:ascii="Times New Roman" w:eastAsia="MS PGothic" w:hAnsi="Times New Roman" w:cs="Times New Roman"/>
          <w:iCs/>
          <w:kern w:val="24"/>
          <w:lang w:val="pt-PT"/>
        </w:rPr>
        <w:t>Health</w:t>
      </w:r>
      <w:proofErr w:type="spellEnd"/>
      <w:r w:rsidR="001D5691" w:rsidRPr="00085D4C">
        <w:rPr>
          <w:rFonts w:ascii="Times New Roman" w:eastAsia="MS PGothic" w:hAnsi="Times New Roman" w:cs="Times New Roman"/>
          <w:iCs/>
          <w:kern w:val="24"/>
          <w:lang w:val="pt-PT"/>
        </w:rPr>
        <w:t xml:space="preserve"> </w:t>
      </w:r>
      <w:r w:rsidR="000231EC" w:rsidRPr="00ED5F8D">
        <w:rPr>
          <w:rFonts w:ascii="Times New Roman" w:eastAsia="MS PGothic" w:hAnsi="Times New Roman" w:cs="Times New Roman"/>
          <w:kern w:val="24"/>
          <w:lang w:val="pt-PT"/>
        </w:rPr>
        <w:t>(AIAAAH, 1996)</w:t>
      </w:r>
      <w:r w:rsidR="00AE7024" w:rsidRPr="00ED5F8D">
        <w:rPr>
          <w:rFonts w:ascii="Times New Roman" w:eastAsia="MS PGothic" w:hAnsi="Times New Roman" w:cs="Times New Roman"/>
          <w:kern w:val="24"/>
          <w:lang w:val="pt-PT"/>
        </w:rPr>
        <w:t xml:space="preserve">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em todos os serviços avaliados (excepto </w:t>
      </w:r>
      <w:r w:rsidR="00AE7024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o TAC/RMN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e </w:t>
      </w:r>
      <w:proofErr w:type="gramStart"/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estomatologia)</w:t>
      </w:r>
      <w:r w:rsidR="002317D6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  <w:vertAlign w:val="superscript"/>
        </w:rPr>
        <w:t>5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Este facto é igualmente reforçado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pelo baixo número de não conformidades com o dióxido de carbono (2,5%). </w:t>
      </w:r>
    </w:p>
    <w:p w:rsidR="0095415B" w:rsidRPr="006015B8" w:rsidRDefault="0035793D" w:rsidP="00F96D6C">
      <w:pPr>
        <w:pStyle w:val="NoParagraphStyle"/>
        <w:suppressAutoHyphens/>
        <w:spacing w:line="48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O</w:t>
      </w:r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="001D5691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foi</w:t>
      </w:r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o ag</w:t>
      </w:r>
      <w:r w:rsidR="002D0FD1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ente anestésico com maior proporção</w:t>
      </w:r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não conformidades registadas (16,7%), seguido do </w:t>
      </w:r>
      <w:proofErr w:type="spellStart"/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(10,2%) e do protóxido de azoto (8,9%)</w:t>
      </w:r>
      <w:r w:rsidR="00717E09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– Gráfico 1</w:t>
      </w:r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. É de salientar o facto de o protóxido de azoto (</w:t>
      </w:r>
      <w:r w:rsidR="00717E09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 todos os agentes analisados o que apresenta</w:t>
      </w:r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maior toxicidade) ter sido também aquele com menor número de não conformidades registadas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(8,9%)</w:t>
      </w:r>
      <w:r w:rsidR="0095415B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, provavelmente em resultado de um maior cuidado aquando da sua utilização</w:t>
      </w:r>
      <w:r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A maior proporção de não conformidades com o </w:t>
      </w:r>
      <w:proofErr w:type="spellStart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desflurano</w:t>
      </w:r>
      <w:proofErr w:type="spellEnd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poderá justificar-se pelo facto ser inodoro (ao contrário do </w:t>
      </w:r>
      <w:proofErr w:type="spellStart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sevoflurano</w:t>
      </w:r>
      <w:proofErr w:type="spellEnd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) sendo mais fácil a ocorrência de fugas não detectadas pelo “</w:t>
      </w:r>
      <w:proofErr w:type="gramStart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staff</w:t>
      </w:r>
      <w:proofErr w:type="gramEnd"/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” do bloco operatório. Além disso, a utilização deste gás tem vindo a aumentar desde o início da sua monitorização em </w:t>
      </w:r>
      <w:r w:rsidR="0012193A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2009, sendo um agente mais recente que os restantes, o que implica uma aprendizagem recente do seu manuseio.</w:t>
      </w:r>
      <w:r w:rsidR="006015B8">
        <w:rPr>
          <w:rFonts w:ascii="Times New Roman" w:eastAsia="Times New Roman" w:hAnsi="Times New Roman" w:cs="Times New Roman"/>
          <w:lang w:val="pt-PT"/>
        </w:rPr>
        <w:t xml:space="preserve"> </w:t>
      </w:r>
      <w:r w:rsidR="00F96D6C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>A</w:t>
      </w:r>
      <w:r w:rsidR="00717E09" w:rsidRPr="00ED5F8D">
        <w:rPr>
          <w:rStyle w:val="TEXTO-NEGRIT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tendência para a diminuição do número de não conformidades nos últimos anos (gráfico 2), </w:t>
      </w:r>
      <w:r w:rsidR="00717E09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nomeadamente no que diz respeito ao protóxido da azoto e ao </w:t>
      </w:r>
      <w:proofErr w:type="spellStart"/>
      <w:r w:rsidR="00717E09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desflurano</w:t>
      </w:r>
      <w:proofErr w:type="spellEnd"/>
      <w:r w:rsidR="00717E09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poderá estar relacionad</w:t>
      </w:r>
      <w:r w:rsidR="00F96D6C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="00717E09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com a melhoria das condições estruturais nas salas de bloco</w:t>
      </w:r>
      <w:r w:rsidR="002D0FD1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e pela formação diferenciada dos seus profissionais.</w:t>
      </w:r>
    </w:p>
    <w:p w:rsidR="0095415B" w:rsidRPr="00AF222E" w:rsidRDefault="0095415B" w:rsidP="00566E47">
      <w:pPr>
        <w:pStyle w:val="Ttulos"/>
        <w:spacing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95415B" w:rsidRPr="002317D6" w:rsidRDefault="002317D6" w:rsidP="00502299">
      <w:pPr>
        <w:pStyle w:val="Corp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2317D6">
        <w:rPr>
          <w:rStyle w:val="TEXTO-NEGRITA"/>
          <w:rFonts w:ascii="Times New Roman" w:hAnsi="Times New Roman" w:cs="Times New Roman"/>
          <w:sz w:val="24"/>
          <w:szCs w:val="24"/>
        </w:rPr>
        <w:t>5</w:t>
      </w:r>
      <w:r w:rsidR="00327065" w:rsidRPr="002317D6">
        <w:rPr>
          <w:rStyle w:val="TEXTO-NEGRITA"/>
          <w:rFonts w:ascii="Times New Roman" w:hAnsi="Times New Roman" w:cs="Times New Roman"/>
          <w:sz w:val="24"/>
          <w:szCs w:val="24"/>
        </w:rPr>
        <w:t>.</w:t>
      </w:r>
      <w:r w:rsidR="0095415B" w:rsidRPr="002317D6">
        <w:rPr>
          <w:rStyle w:val="TEXTO-NEGRITA"/>
          <w:rFonts w:ascii="Times New Roman" w:hAnsi="Times New Roman" w:cs="Times New Roman"/>
          <w:sz w:val="24"/>
          <w:szCs w:val="24"/>
        </w:rPr>
        <w:t>CONCLUSÕES</w:t>
      </w:r>
    </w:p>
    <w:p w:rsidR="00E95312" w:rsidRPr="00AF222E" w:rsidRDefault="00E95312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Nesta unidade hospitalar e durante o período considerado os serviços com maior risco de exposição a agentes anestésicos foram a Unidade de Queimados, </w:t>
      </w:r>
      <w:r w:rsidR="001D5691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TAC/RMN</w:t>
      </w:r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e Cirurgia de Ambulatório. </w:t>
      </w:r>
      <w:r w:rsidR="002D0FD1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Apenas 6,9% das amostras efectuadas no Bloco Central a</w:t>
      </w:r>
      <w:r w:rsidR="008B7D84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presentaram</w:t>
      </w:r>
      <w:r w:rsidR="002D0FD1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B7D84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resultados superiores ao VLE. </w:t>
      </w:r>
      <w:r w:rsidR="0035793D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De todos os agentes anestésicos analisados,</w:t>
      </w:r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desflurano</w:t>
      </w:r>
      <w:proofErr w:type="spellEnd"/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foi </w:t>
      </w:r>
      <w:r w:rsidR="0035793D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aquele </w:t>
      </w:r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com maior proporção de não conformidades.</w:t>
      </w:r>
      <w:r w:rsidR="002D0FD1"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8B7D84" w:rsidRPr="00AF222E" w:rsidRDefault="008B7D84" w:rsidP="00566E47">
      <w:pPr>
        <w:pStyle w:val="NoParagraphStyle"/>
        <w:suppressAutoHyphens/>
        <w:spacing w:line="480" w:lineRule="auto"/>
        <w:jc w:val="both"/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AF222E">
        <w:rPr>
          <w:rStyle w:val="TEXTO-NEGRIT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Para complementar a vigilância ambiental é fundamental a instituição de um sistema de vigilância da saúde dos profissionais expostos a agentes anestésicos, de modo a minimizar as consequências negativas para a saúde.</w:t>
      </w:r>
    </w:p>
    <w:p w:rsidR="00E95312" w:rsidRPr="00ED5F8D" w:rsidRDefault="00E95312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242ED8" w:rsidRPr="00ED5F8D" w:rsidRDefault="00242ED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242ED8" w:rsidRPr="00ED5F8D" w:rsidRDefault="00242ED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242ED8" w:rsidRPr="00ED5F8D" w:rsidRDefault="00242ED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242ED8" w:rsidRPr="00ED5F8D" w:rsidRDefault="00242ED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242ED8" w:rsidRPr="00ED5F8D" w:rsidRDefault="00242ED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AE7024" w:rsidRPr="00ED5F8D" w:rsidRDefault="00AE7024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AE7024" w:rsidRPr="00ED5F8D" w:rsidRDefault="00AE7024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AE7024" w:rsidRPr="00ED5F8D" w:rsidRDefault="00AE7024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AE7024" w:rsidRPr="00ED5F8D" w:rsidRDefault="00AE7024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F96D6C" w:rsidRDefault="00F96D6C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6015B8" w:rsidRDefault="006015B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6015B8" w:rsidRDefault="006015B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6015B8" w:rsidRDefault="006015B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6015B8" w:rsidRPr="00ED5F8D" w:rsidRDefault="006015B8" w:rsidP="00502299">
      <w:pPr>
        <w:pStyle w:val="Corpo"/>
        <w:rPr>
          <w:rStyle w:val="TEXTO-NEGRITA"/>
          <w:rFonts w:ascii="Times New Roman" w:hAnsi="Times New Roman" w:cs="Times New Roman"/>
          <w:sz w:val="24"/>
          <w:szCs w:val="24"/>
        </w:rPr>
      </w:pPr>
    </w:p>
    <w:p w:rsidR="00E95312" w:rsidRPr="00E56161" w:rsidRDefault="002317D6" w:rsidP="00502299">
      <w:pPr>
        <w:pStyle w:val="Corp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E56161">
        <w:rPr>
          <w:rStyle w:val="TEXTO-NEGRITA"/>
          <w:rFonts w:ascii="Times New Roman" w:hAnsi="Times New Roman" w:cs="Times New Roman"/>
          <w:sz w:val="24"/>
          <w:szCs w:val="24"/>
        </w:rPr>
        <w:t>6</w:t>
      </w:r>
      <w:r w:rsidR="00327065" w:rsidRPr="00E56161">
        <w:rPr>
          <w:rStyle w:val="TEXTO-NEGRITA"/>
          <w:rFonts w:ascii="Times New Roman" w:hAnsi="Times New Roman" w:cs="Times New Roman"/>
          <w:sz w:val="24"/>
          <w:szCs w:val="24"/>
        </w:rPr>
        <w:t>.</w:t>
      </w:r>
      <w:r w:rsidR="00E95312" w:rsidRPr="00E56161">
        <w:rPr>
          <w:rStyle w:val="TEXTO-NEGRITA"/>
          <w:rFonts w:ascii="Times New Roman" w:hAnsi="Times New Roman" w:cs="Times New Roman"/>
          <w:sz w:val="24"/>
          <w:szCs w:val="24"/>
        </w:rPr>
        <w:t>REFERÊNCIAS</w:t>
      </w:r>
    </w:p>
    <w:p w:rsidR="00BB3AB5" w:rsidRPr="00E56161" w:rsidRDefault="00E56161" w:rsidP="00566E47">
      <w:pPr>
        <w:pStyle w:val="PargrafodaLista"/>
        <w:numPr>
          <w:ilvl w:val="0"/>
          <w:numId w:val="15"/>
        </w:numPr>
        <w:spacing w:after="0" w:line="480" w:lineRule="auto"/>
        <w:ind w:left="0" w:firstLine="0"/>
        <w:rPr>
          <w:rStyle w:val="TEXTO"/>
          <w:rFonts w:ascii="Times New Roman" w:hAnsi="Times New Roman" w:cs="Times New Roman"/>
          <w:sz w:val="24"/>
          <w:szCs w:val="24"/>
          <w:lang w:val="en-US"/>
        </w:rPr>
      </w:pPr>
      <w:r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>Waste anesthe</w:t>
      </w:r>
      <w:r w:rsidR="0042755E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>t</w:t>
      </w:r>
      <w:r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 xml:space="preserve">ic gases - Occupational Hazards in </w:t>
      </w:r>
      <w:proofErr w:type="gramStart"/>
      <w:r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>Hospitals</w:t>
      </w:r>
      <w:r w:rsidR="00BB3AB5"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F48AB"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>.</w:t>
      </w:r>
      <w:proofErr w:type="gramEnd"/>
      <w:r w:rsidR="00CF48AB"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B3AB5"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>Cincinnati</w:t>
      </w:r>
      <w:r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 xml:space="preserve">: National Institute for Occupational Safety and Health; 2007 </w:t>
      </w:r>
      <w:r w:rsidR="00BB3AB5" w:rsidRPr="00E56161">
        <w:rPr>
          <w:rStyle w:val="TEXTO"/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E56161">
        <w:rPr>
          <w:rFonts w:ascii="Times New Roman" w:hAnsi="Times New Roman" w:cs="Times New Roman"/>
          <w:color w:val="000000"/>
          <w:sz w:val="24"/>
          <w:szCs w:val="24"/>
          <w:lang w:val="en-US"/>
        </w:rPr>
        <w:t>DHHS (NIOSH) Publication No. 2007–151</w:t>
      </w:r>
    </w:p>
    <w:p w:rsidR="00D91804" w:rsidRPr="00ED5F8D" w:rsidRDefault="00D91804" w:rsidP="00566E47">
      <w:pPr>
        <w:pStyle w:val="PargrafodaLista"/>
        <w:numPr>
          <w:ilvl w:val="0"/>
          <w:numId w:val="15"/>
        </w:numPr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Boivin</w:t>
      </w:r>
      <w:proofErr w:type="spellEnd"/>
      <w:r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gramStart"/>
      <w:r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JF</w:t>
      </w:r>
      <w:r w:rsidR="00C8774B"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r w:rsid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,</w:t>
      </w:r>
      <w:proofErr w:type="gramEnd"/>
      <w:r w:rsid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r w:rsidRP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Risk of spontaneous abortion in wom</w:t>
      </w:r>
      <w:r w:rsidR="00254FAA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en occupationally exposed to an</w:t>
      </w:r>
      <w:r w:rsidRP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esthe</w:t>
      </w:r>
      <w:r w:rsidR="0042755E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t</w:t>
      </w:r>
      <w:r w:rsidRP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ic gases: a meta-analysis.</w:t>
      </w:r>
      <w:r w:rsid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Occup</w:t>
      </w:r>
      <w:proofErr w:type="spellEnd"/>
      <w:r w:rsidRPr="00ED5F8D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Environ Med 1997; 54: 541</w:t>
      </w:r>
      <w:r w:rsidR="00E56161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-548</w:t>
      </w:r>
    </w:p>
    <w:p w:rsidR="000231EC" w:rsidRPr="00ED5F8D" w:rsidRDefault="00C02017" w:rsidP="00566E47">
      <w:pPr>
        <w:pStyle w:val="PargrafodaLista"/>
        <w:numPr>
          <w:ilvl w:val="0"/>
          <w:numId w:val="15"/>
        </w:numPr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EXTO"/>
          <w:rFonts w:ascii="Times New Roman" w:hAnsi="Times New Roman" w:cs="Times New Roman"/>
          <w:sz w:val="24"/>
          <w:szCs w:val="24"/>
          <w:lang w:val="en-US"/>
        </w:rPr>
        <w:t xml:space="preserve">Anesthetic Gases: Guidelines for Workplace Exposures. </w:t>
      </w:r>
      <w:r w:rsidR="000231EC" w:rsidRPr="00ED5F8D">
        <w:rPr>
          <w:rStyle w:val="TEXTO"/>
          <w:rFonts w:ascii="Times New Roman" w:hAnsi="Times New Roman" w:cs="Times New Roman"/>
          <w:sz w:val="24"/>
          <w:szCs w:val="24"/>
          <w:lang w:val="en-US"/>
        </w:rPr>
        <w:t>Occupational Safety &amp; Health Administration</w:t>
      </w:r>
      <w:r>
        <w:rPr>
          <w:rStyle w:val="TEXTO"/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231EC" w:rsidRPr="00ED5F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2000. </w:t>
      </w:r>
      <w:r w:rsidR="000231EC" w:rsidRPr="00ED5F8D">
        <w:rPr>
          <w:rFonts w:ascii="Times New Roman" w:eastAsia="MS PGothic" w:hAnsi="Times New Roman" w:cs="Times New Roman"/>
          <w:color w:val="000000"/>
          <w:kern w:val="24"/>
          <w:sz w:val="24"/>
          <w:szCs w:val="24"/>
          <w:lang w:val="en-US"/>
        </w:rPr>
        <w:t>OSHA Directorate of Technical Support and Emergency Management nº199.</w:t>
      </w:r>
    </w:p>
    <w:p w:rsidR="000231EC" w:rsidRPr="00ED5F8D" w:rsidRDefault="000231EC" w:rsidP="00566E47">
      <w:pPr>
        <w:pStyle w:val="NormalWeb"/>
        <w:numPr>
          <w:ilvl w:val="0"/>
          <w:numId w:val="15"/>
        </w:numPr>
        <w:kinsoku w:val="0"/>
        <w:overflowPunct w:val="0"/>
        <w:spacing w:before="0" w:beforeAutospacing="0" w:after="0" w:afterAutospacing="0" w:line="480" w:lineRule="auto"/>
        <w:ind w:left="0" w:firstLine="0"/>
        <w:jc w:val="both"/>
        <w:textAlignment w:val="baseline"/>
        <w:rPr>
          <w:kern w:val="24"/>
          <w:lang w:val="de-DE"/>
        </w:rPr>
      </w:pPr>
      <w:r w:rsidRPr="00C02017">
        <w:rPr>
          <w:lang w:val="de-DE"/>
        </w:rPr>
        <w:t>K. Hoerauf,</w:t>
      </w:r>
      <w:r w:rsidR="00C02017" w:rsidRPr="00C02017">
        <w:rPr>
          <w:lang w:val="de-DE"/>
        </w:rPr>
        <w:t xml:space="preserve"> W. Funk, M. Harth, J. Hobbhahn. </w:t>
      </w:r>
      <w:r w:rsidRPr="0065671F">
        <w:rPr>
          <w:kern w:val="24"/>
          <w:lang w:val="en-US"/>
        </w:rPr>
        <w:t xml:space="preserve">Occupational exposure to </w:t>
      </w:r>
      <w:proofErr w:type="spellStart"/>
      <w:r w:rsidRPr="0065671F">
        <w:rPr>
          <w:kern w:val="24"/>
          <w:lang w:val="en-US"/>
        </w:rPr>
        <w:t>sevoflurane</w:t>
      </w:r>
      <w:proofErr w:type="spellEnd"/>
      <w:r w:rsidRPr="0065671F">
        <w:rPr>
          <w:kern w:val="24"/>
          <w:lang w:val="en-US"/>
        </w:rPr>
        <w:t xml:space="preserve">, halothane and nitrous oxide during </w:t>
      </w:r>
      <w:proofErr w:type="spellStart"/>
      <w:r w:rsidRPr="0065671F">
        <w:rPr>
          <w:kern w:val="24"/>
          <w:lang w:val="en-US"/>
        </w:rPr>
        <w:t>paediatric</w:t>
      </w:r>
      <w:proofErr w:type="spellEnd"/>
      <w:r w:rsidR="00ED5F8D" w:rsidRPr="0065671F">
        <w:rPr>
          <w:kern w:val="24"/>
          <w:lang w:val="en-US"/>
        </w:rPr>
        <w:t xml:space="preserve"> </w:t>
      </w:r>
      <w:proofErr w:type="spellStart"/>
      <w:r w:rsidRPr="0065671F">
        <w:rPr>
          <w:kern w:val="24"/>
          <w:lang w:val="en-US"/>
        </w:rPr>
        <w:t>anaesthesia</w:t>
      </w:r>
      <w:proofErr w:type="spellEnd"/>
      <w:r w:rsidRPr="0065671F">
        <w:rPr>
          <w:kern w:val="24"/>
          <w:lang w:val="en-US"/>
        </w:rPr>
        <w:t xml:space="preserve">. </w:t>
      </w:r>
      <w:r w:rsidRPr="00ED5F8D">
        <w:rPr>
          <w:kern w:val="24"/>
          <w:lang w:val="de-DE"/>
        </w:rPr>
        <w:t>Anaesthesia 1997;52:215-219.</w:t>
      </w:r>
    </w:p>
    <w:p w:rsidR="000231EC" w:rsidRPr="00ED5F8D" w:rsidRDefault="00254FAA" w:rsidP="00566E47">
      <w:pPr>
        <w:pStyle w:val="NormalWeb"/>
        <w:numPr>
          <w:ilvl w:val="0"/>
          <w:numId w:val="15"/>
        </w:numPr>
        <w:kinsoku w:val="0"/>
        <w:overflowPunct w:val="0"/>
        <w:spacing w:before="0" w:beforeAutospacing="0" w:after="0" w:afterAutospacing="0" w:line="480" w:lineRule="auto"/>
        <w:ind w:left="0" w:firstLine="0"/>
        <w:jc w:val="both"/>
        <w:textAlignment w:val="baseline"/>
        <w:rPr>
          <w:rStyle w:val="TEXTO"/>
          <w:rFonts w:ascii="Times New Roman" w:eastAsia="MS PGothic" w:hAnsi="Times New Roman" w:cs="Times New Roman"/>
          <w:color w:val="000000"/>
          <w:kern w:val="24"/>
          <w:sz w:val="24"/>
          <w:szCs w:val="24"/>
          <w:lang w:val="en-US"/>
        </w:rPr>
      </w:pPr>
      <w:r w:rsidRPr="00C02017">
        <w:rPr>
          <w:rFonts w:eastAsia="MS PGothic"/>
          <w:color w:val="000000"/>
          <w:kern w:val="24"/>
          <w:lang w:val="en-US"/>
        </w:rPr>
        <w:t>Guidelines for design and construction of hospitals and health care facilities.</w:t>
      </w:r>
      <w:r>
        <w:rPr>
          <w:rFonts w:eastAsia="MS PGothic"/>
          <w:color w:val="000000"/>
          <w:kern w:val="24"/>
          <w:lang w:val="en-US"/>
        </w:rPr>
        <w:t xml:space="preserve"> </w:t>
      </w:r>
      <w:r w:rsidR="000231EC" w:rsidRPr="00ED5F8D">
        <w:rPr>
          <w:rFonts w:eastAsia="MS PGothic"/>
          <w:color w:val="000000"/>
          <w:kern w:val="24"/>
          <w:lang w:val="en-US"/>
        </w:rPr>
        <w:t>American Institute of Architects Academy of Architecture for Health, U.S. Departmen</w:t>
      </w:r>
      <w:r w:rsidR="00C02017">
        <w:rPr>
          <w:rFonts w:eastAsia="MS PGothic"/>
          <w:color w:val="000000"/>
          <w:kern w:val="24"/>
          <w:lang w:val="en-US"/>
        </w:rPr>
        <w:t>t of Health and Human Services</w:t>
      </w:r>
      <w:r w:rsidR="000231EC" w:rsidRPr="00C02017">
        <w:rPr>
          <w:rFonts w:eastAsia="MS PGothic"/>
          <w:color w:val="000000"/>
          <w:kern w:val="24"/>
          <w:lang w:val="en-US"/>
        </w:rPr>
        <w:t>.</w:t>
      </w:r>
      <w:r w:rsidR="00C02017">
        <w:rPr>
          <w:rFonts w:eastAsia="MS PGothic"/>
          <w:color w:val="000000"/>
          <w:kern w:val="24"/>
          <w:lang w:val="en-US"/>
        </w:rPr>
        <w:t>1996-1997</w:t>
      </w:r>
      <w:r w:rsidR="000231EC" w:rsidRPr="00ED5F8D">
        <w:rPr>
          <w:rFonts w:eastAsia="MS PGothic"/>
          <w:color w:val="000000"/>
          <w:kern w:val="24"/>
          <w:lang w:val="en-US"/>
        </w:rPr>
        <w:t xml:space="preserve"> Washington, DC, The American Institute of Architects Press.</w:t>
      </w:r>
    </w:p>
    <w:p w:rsidR="0095415B" w:rsidRPr="00C02017" w:rsidRDefault="0095415B" w:rsidP="00502299">
      <w:pPr>
        <w:pStyle w:val="Corpo"/>
        <w:rPr>
          <w:rStyle w:val="TEXTO-NEGRITA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EA7D3B" w:rsidRPr="00E34193" w:rsidRDefault="00EA7D3B" w:rsidP="003A2A44">
      <w:pPr>
        <w:ind w:left="426" w:hanging="426"/>
        <w:rPr>
          <w:rFonts w:ascii="Times New Roman" w:hAnsi="Times New Roman"/>
          <w:lang w:val="en-GB"/>
        </w:rPr>
      </w:pPr>
    </w:p>
    <w:sectPr w:rsidR="00EA7D3B" w:rsidRPr="00E34193" w:rsidSect="00EA7D3B"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A1" w:rsidRDefault="00C535A1" w:rsidP="00FF202E">
      <w:r>
        <w:separator/>
      </w:r>
    </w:p>
  </w:endnote>
  <w:endnote w:type="continuationSeparator" w:id="0">
    <w:p w:rsidR="00C535A1" w:rsidRDefault="00C535A1" w:rsidP="00FF2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7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E47" w:rsidRDefault="00980A22">
        <w:pPr>
          <w:pStyle w:val="Rodap"/>
          <w:jc w:val="right"/>
        </w:pPr>
        <w:r>
          <w:fldChar w:fldCharType="begin"/>
        </w:r>
        <w:r w:rsidR="00566E47">
          <w:instrText xml:space="preserve"> PAGE   \* MERGEFORMAT </w:instrText>
        </w:r>
        <w:r>
          <w:fldChar w:fldCharType="separate"/>
        </w:r>
        <w:r w:rsidR="00963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E47" w:rsidRDefault="00566E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A1" w:rsidRDefault="00C535A1" w:rsidP="00FF202E">
      <w:r>
        <w:separator/>
      </w:r>
    </w:p>
  </w:footnote>
  <w:footnote w:type="continuationSeparator" w:id="0">
    <w:p w:rsidR="00C535A1" w:rsidRDefault="00C535A1" w:rsidP="00FF2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D6A"/>
    <w:multiLevelType w:val="hybridMultilevel"/>
    <w:tmpl w:val="4CC0B88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F311C4"/>
    <w:multiLevelType w:val="hybridMultilevel"/>
    <w:tmpl w:val="507E4AC6"/>
    <w:lvl w:ilvl="0" w:tplc="E974B04E">
      <w:start w:val="1"/>
      <w:numFmt w:val="none"/>
      <w:lvlText w:val="%1[1]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18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F40DF"/>
    <w:multiLevelType w:val="hybridMultilevel"/>
    <w:tmpl w:val="C150A248"/>
    <w:lvl w:ilvl="0" w:tplc="DA6C0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A3CDA"/>
    <w:multiLevelType w:val="hybridMultilevel"/>
    <w:tmpl w:val="DE469F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9677F"/>
    <w:multiLevelType w:val="hybridMultilevel"/>
    <w:tmpl w:val="782C91DC"/>
    <w:lvl w:ilvl="0" w:tplc="63D09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D1279"/>
    <w:multiLevelType w:val="hybridMultilevel"/>
    <w:tmpl w:val="C28AA06A"/>
    <w:lvl w:ilvl="0" w:tplc="550662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D0C2575"/>
    <w:multiLevelType w:val="hybridMultilevel"/>
    <w:tmpl w:val="50B807CE"/>
    <w:lvl w:ilvl="0" w:tplc="E974B04E">
      <w:start w:val="1"/>
      <w:numFmt w:val="none"/>
      <w:lvlText w:val="%1[1]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18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63EC4"/>
    <w:multiLevelType w:val="hybridMultilevel"/>
    <w:tmpl w:val="D408D0C0"/>
    <w:lvl w:ilvl="0" w:tplc="5004F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65F83"/>
    <w:multiLevelType w:val="hybridMultilevel"/>
    <w:tmpl w:val="CFAC847E"/>
    <w:lvl w:ilvl="0" w:tplc="CFBAA842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D147B"/>
    <w:multiLevelType w:val="hybridMultilevel"/>
    <w:tmpl w:val="546ABE10"/>
    <w:lvl w:ilvl="0" w:tplc="02DCEF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D1067"/>
    <w:multiLevelType w:val="hybridMultilevel"/>
    <w:tmpl w:val="DE469FF4"/>
    <w:lvl w:ilvl="0" w:tplc="D952CDBC">
      <w:start w:val="1"/>
      <w:numFmt w:val="decimal"/>
      <w:lvlText w:val="[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C4A31"/>
    <w:multiLevelType w:val="hybridMultilevel"/>
    <w:tmpl w:val="FC1661F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2283C"/>
    <w:multiLevelType w:val="hybridMultilevel"/>
    <w:tmpl w:val="8CF2A0A2"/>
    <w:lvl w:ilvl="0" w:tplc="CFBAA842">
      <w:numFmt w:val="bullet"/>
      <w:lvlText w:val="-"/>
      <w:lvlJc w:val="left"/>
      <w:pPr>
        <w:ind w:left="1004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220146"/>
    <w:multiLevelType w:val="multilevel"/>
    <w:tmpl w:val="08C0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00907"/>
    <w:multiLevelType w:val="hybridMultilevel"/>
    <w:tmpl w:val="E5580466"/>
    <w:lvl w:ilvl="0" w:tplc="CFBAA842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26D3D"/>
    <w:multiLevelType w:val="hybridMultilevel"/>
    <w:tmpl w:val="FF6684B0"/>
    <w:lvl w:ilvl="0" w:tplc="83527F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6F22CF2"/>
    <w:multiLevelType w:val="hybridMultilevel"/>
    <w:tmpl w:val="420C200E"/>
    <w:lvl w:ilvl="0" w:tplc="5A6C5B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C7754C2"/>
    <w:multiLevelType w:val="hybridMultilevel"/>
    <w:tmpl w:val="4024240A"/>
    <w:lvl w:ilvl="0" w:tplc="9AFA09E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87C0E3C"/>
    <w:multiLevelType w:val="multilevel"/>
    <w:tmpl w:val="7AC2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13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15"/>
  </w:num>
  <w:num w:numId="15">
    <w:abstractNumId w:val="9"/>
  </w:num>
  <w:num w:numId="16">
    <w:abstractNumId w:val="18"/>
  </w:num>
  <w:num w:numId="17">
    <w:abstractNumId w:val="16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5DA"/>
    <w:rsid w:val="0001650F"/>
    <w:rsid w:val="000231EC"/>
    <w:rsid w:val="00050528"/>
    <w:rsid w:val="000633E2"/>
    <w:rsid w:val="00071C85"/>
    <w:rsid w:val="00085D4C"/>
    <w:rsid w:val="000945A8"/>
    <w:rsid w:val="000B78D9"/>
    <w:rsid w:val="000D26CA"/>
    <w:rsid w:val="000D6CEF"/>
    <w:rsid w:val="000F5F96"/>
    <w:rsid w:val="00114363"/>
    <w:rsid w:val="00116CC6"/>
    <w:rsid w:val="0012193A"/>
    <w:rsid w:val="0014380D"/>
    <w:rsid w:val="00162C3E"/>
    <w:rsid w:val="001C0B75"/>
    <w:rsid w:val="001D5691"/>
    <w:rsid w:val="0020053C"/>
    <w:rsid w:val="002317D6"/>
    <w:rsid w:val="00242ED8"/>
    <w:rsid w:val="00254FAA"/>
    <w:rsid w:val="002D0FD1"/>
    <w:rsid w:val="002F4963"/>
    <w:rsid w:val="00325986"/>
    <w:rsid w:val="00327065"/>
    <w:rsid w:val="0035793D"/>
    <w:rsid w:val="00361A01"/>
    <w:rsid w:val="00364D48"/>
    <w:rsid w:val="0038173B"/>
    <w:rsid w:val="00395768"/>
    <w:rsid w:val="003A2A44"/>
    <w:rsid w:val="003F3EB2"/>
    <w:rsid w:val="0042755E"/>
    <w:rsid w:val="004A125F"/>
    <w:rsid w:val="004D7C46"/>
    <w:rsid w:val="004E0E61"/>
    <w:rsid w:val="00502299"/>
    <w:rsid w:val="005432AE"/>
    <w:rsid w:val="00556728"/>
    <w:rsid w:val="005610AB"/>
    <w:rsid w:val="00566E47"/>
    <w:rsid w:val="0059538C"/>
    <w:rsid w:val="005A7822"/>
    <w:rsid w:val="005B09BA"/>
    <w:rsid w:val="005B48F8"/>
    <w:rsid w:val="005D0C2D"/>
    <w:rsid w:val="005E21A2"/>
    <w:rsid w:val="006015B8"/>
    <w:rsid w:val="00605273"/>
    <w:rsid w:val="0060622D"/>
    <w:rsid w:val="00630EE1"/>
    <w:rsid w:val="006431E7"/>
    <w:rsid w:val="0065671F"/>
    <w:rsid w:val="006C20DA"/>
    <w:rsid w:val="006C30EA"/>
    <w:rsid w:val="006F30FB"/>
    <w:rsid w:val="006F6B84"/>
    <w:rsid w:val="00717E09"/>
    <w:rsid w:val="00737FB5"/>
    <w:rsid w:val="007602A9"/>
    <w:rsid w:val="007823B3"/>
    <w:rsid w:val="007B2A42"/>
    <w:rsid w:val="007B2F2E"/>
    <w:rsid w:val="007C5869"/>
    <w:rsid w:val="007D139B"/>
    <w:rsid w:val="007F05F5"/>
    <w:rsid w:val="00805DC8"/>
    <w:rsid w:val="008447F7"/>
    <w:rsid w:val="008473C2"/>
    <w:rsid w:val="008A222C"/>
    <w:rsid w:val="008B7D84"/>
    <w:rsid w:val="008E21AE"/>
    <w:rsid w:val="009047FF"/>
    <w:rsid w:val="00940338"/>
    <w:rsid w:val="00947B97"/>
    <w:rsid w:val="0095415B"/>
    <w:rsid w:val="00956393"/>
    <w:rsid w:val="00960DF6"/>
    <w:rsid w:val="0096345C"/>
    <w:rsid w:val="00980A22"/>
    <w:rsid w:val="0099704E"/>
    <w:rsid w:val="0099735E"/>
    <w:rsid w:val="00A34BE2"/>
    <w:rsid w:val="00A73952"/>
    <w:rsid w:val="00A76977"/>
    <w:rsid w:val="00A81327"/>
    <w:rsid w:val="00A87152"/>
    <w:rsid w:val="00A966F1"/>
    <w:rsid w:val="00AE7024"/>
    <w:rsid w:val="00AF222E"/>
    <w:rsid w:val="00B13B10"/>
    <w:rsid w:val="00B14B3A"/>
    <w:rsid w:val="00B33E25"/>
    <w:rsid w:val="00B63577"/>
    <w:rsid w:val="00B82C15"/>
    <w:rsid w:val="00BA19E4"/>
    <w:rsid w:val="00BB3AB5"/>
    <w:rsid w:val="00BC309D"/>
    <w:rsid w:val="00BC4890"/>
    <w:rsid w:val="00BD7A9F"/>
    <w:rsid w:val="00BE5338"/>
    <w:rsid w:val="00C02017"/>
    <w:rsid w:val="00C535A1"/>
    <w:rsid w:val="00C648B6"/>
    <w:rsid w:val="00C8774B"/>
    <w:rsid w:val="00CB3297"/>
    <w:rsid w:val="00CB5250"/>
    <w:rsid w:val="00CB7B8B"/>
    <w:rsid w:val="00CC11A8"/>
    <w:rsid w:val="00CF48AB"/>
    <w:rsid w:val="00CF52B7"/>
    <w:rsid w:val="00CF5B7B"/>
    <w:rsid w:val="00D30CA2"/>
    <w:rsid w:val="00D3619B"/>
    <w:rsid w:val="00D90C0E"/>
    <w:rsid w:val="00D91804"/>
    <w:rsid w:val="00D9510B"/>
    <w:rsid w:val="00DC6C63"/>
    <w:rsid w:val="00E145DA"/>
    <w:rsid w:val="00E34193"/>
    <w:rsid w:val="00E515CB"/>
    <w:rsid w:val="00E56161"/>
    <w:rsid w:val="00E93B94"/>
    <w:rsid w:val="00E95312"/>
    <w:rsid w:val="00EA7D3B"/>
    <w:rsid w:val="00ED5D62"/>
    <w:rsid w:val="00ED5F8D"/>
    <w:rsid w:val="00F90F4C"/>
    <w:rsid w:val="00F96D6C"/>
    <w:rsid w:val="00FF202E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73BA"/>
    <w:pPr>
      <w:jc w:val="both"/>
    </w:pPr>
    <w:rPr>
      <w:rFonts w:ascii="Arial" w:hAnsi="Arial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AE73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73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73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AE73BA"/>
    <w:rPr>
      <w:color w:val="0000FF"/>
      <w:u w:val="single"/>
    </w:rPr>
  </w:style>
  <w:style w:type="paragraph" w:customStyle="1" w:styleId="Artigo">
    <w:name w:val="Artigo"/>
    <w:basedOn w:val="Normal"/>
    <w:next w:val="Autor"/>
    <w:rsid w:val="00AE73BA"/>
    <w:pPr>
      <w:jc w:val="right"/>
    </w:pPr>
    <w:rPr>
      <w:rFonts w:cs="Arial"/>
      <w:b/>
      <w:sz w:val="36"/>
      <w:szCs w:val="36"/>
      <w:lang w:val="pt-PT"/>
    </w:rPr>
  </w:style>
  <w:style w:type="paragraph" w:customStyle="1" w:styleId="Autor">
    <w:name w:val="Autor"/>
    <w:basedOn w:val="Normal"/>
    <w:next w:val="Instituio"/>
    <w:rsid w:val="00AE73BA"/>
    <w:pPr>
      <w:spacing w:before="240"/>
      <w:jc w:val="right"/>
    </w:pPr>
    <w:rPr>
      <w:rFonts w:cs="Arial"/>
      <w:b/>
      <w:lang w:val="pt-PT"/>
    </w:rPr>
  </w:style>
  <w:style w:type="paragraph" w:customStyle="1" w:styleId="Instituio">
    <w:name w:val="Instituição"/>
    <w:basedOn w:val="Normal"/>
    <w:next w:val="Ttulos"/>
    <w:rsid w:val="00AE73BA"/>
    <w:pPr>
      <w:jc w:val="right"/>
    </w:pPr>
    <w:rPr>
      <w:rFonts w:cs="Arial"/>
      <w:szCs w:val="20"/>
      <w:lang w:val="pt-PT"/>
    </w:rPr>
  </w:style>
  <w:style w:type="paragraph" w:customStyle="1" w:styleId="Style1">
    <w:name w:val="Style1"/>
    <w:basedOn w:val="Normal"/>
    <w:semiHidden/>
    <w:rsid w:val="00AE73BA"/>
    <w:pPr>
      <w:spacing w:before="240" w:after="120"/>
    </w:pPr>
    <w:rPr>
      <w:rFonts w:cs="Arial"/>
      <w:b/>
      <w:caps/>
      <w:sz w:val="22"/>
      <w:szCs w:val="22"/>
      <w:lang w:val="pt-PT"/>
    </w:rPr>
  </w:style>
  <w:style w:type="paragraph" w:customStyle="1" w:styleId="Ttulos">
    <w:name w:val="Títulos"/>
    <w:basedOn w:val="Normal"/>
    <w:next w:val="Corpo"/>
    <w:autoRedefine/>
    <w:rsid w:val="0095415B"/>
    <w:pPr>
      <w:outlineLvl w:val="0"/>
    </w:pPr>
    <w:rPr>
      <w:rFonts w:cs="Arial"/>
      <w:b/>
      <w:szCs w:val="22"/>
      <w:lang w:val="en-GB"/>
    </w:rPr>
  </w:style>
  <w:style w:type="paragraph" w:customStyle="1" w:styleId="Corpo">
    <w:name w:val="Corpo"/>
    <w:basedOn w:val="Normal"/>
    <w:autoRedefine/>
    <w:rsid w:val="00502299"/>
    <w:pPr>
      <w:spacing w:line="480" w:lineRule="auto"/>
    </w:pPr>
    <w:rPr>
      <w:rFonts w:ascii="Times New Roman" w:hAnsi="Times New Roman"/>
      <w:sz w:val="24"/>
      <w:lang w:val="pt-PT"/>
    </w:rPr>
  </w:style>
  <w:style w:type="paragraph" w:styleId="Legenda">
    <w:name w:val="caption"/>
    <w:aliases w:val="nº Tabela"/>
    <w:basedOn w:val="Normal"/>
    <w:next w:val="Normal"/>
    <w:autoRedefine/>
    <w:qFormat/>
    <w:rsid w:val="00AE73BA"/>
    <w:pPr>
      <w:spacing w:before="240" w:after="240"/>
      <w:jc w:val="center"/>
    </w:pPr>
    <w:rPr>
      <w:bCs/>
      <w:sz w:val="18"/>
      <w:szCs w:val="20"/>
      <w:lang w:val="pt-PT"/>
    </w:rPr>
  </w:style>
  <w:style w:type="character" w:styleId="Forte">
    <w:name w:val="Strong"/>
    <w:uiPriority w:val="22"/>
    <w:qFormat/>
    <w:rsid w:val="00AE73BA"/>
    <w:rPr>
      <w:b/>
      <w:bCs/>
    </w:rPr>
  </w:style>
  <w:style w:type="paragraph" w:customStyle="1" w:styleId="Cabealhotabela">
    <w:name w:val="Cabeçalho tabela"/>
    <w:basedOn w:val="Normal"/>
    <w:rsid w:val="00AE73BA"/>
    <w:pPr>
      <w:jc w:val="center"/>
    </w:pPr>
    <w:rPr>
      <w:sz w:val="18"/>
      <w:szCs w:val="18"/>
      <w:lang w:val="pt-PT"/>
    </w:rPr>
  </w:style>
  <w:style w:type="paragraph" w:customStyle="1" w:styleId="CorpoTabela">
    <w:name w:val="Corpo Tabela"/>
    <w:basedOn w:val="Normal"/>
    <w:autoRedefine/>
    <w:rsid w:val="00AE73BA"/>
    <w:pPr>
      <w:jc w:val="center"/>
    </w:pPr>
    <w:rPr>
      <w:sz w:val="18"/>
      <w:szCs w:val="18"/>
      <w:lang w:val="pt-PT"/>
    </w:rPr>
  </w:style>
  <w:style w:type="paragraph" w:customStyle="1" w:styleId="Bibliografia1">
    <w:name w:val="Bibliografia1"/>
    <w:basedOn w:val="Legenda"/>
    <w:autoRedefine/>
    <w:rsid w:val="00AE73BA"/>
    <w:pPr>
      <w:tabs>
        <w:tab w:val="left" w:pos="180"/>
      </w:tabs>
      <w:spacing w:before="0" w:after="0"/>
      <w:jc w:val="both"/>
    </w:pPr>
  </w:style>
  <w:style w:type="paragraph" w:customStyle="1" w:styleId="MTDisplayEquation">
    <w:name w:val="MTDisplayEquation"/>
    <w:basedOn w:val="Corpo"/>
    <w:next w:val="Normal"/>
    <w:rsid w:val="00AE73BA"/>
    <w:pPr>
      <w:tabs>
        <w:tab w:val="center" w:pos="3460"/>
        <w:tab w:val="right" w:pos="6920"/>
      </w:tabs>
    </w:pPr>
  </w:style>
  <w:style w:type="paragraph" w:customStyle="1" w:styleId="Figura">
    <w:name w:val="Figura"/>
    <w:basedOn w:val="Corpo"/>
    <w:rsid w:val="00AE73BA"/>
    <w:pPr>
      <w:spacing w:before="240" w:after="240"/>
    </w:pPr>
  </w:style>
  <w:style w:type="paragraph" w:customStyle="1" w:styleId="Subttulos">
    <w:name w:val="Subtítulos"/>
    <w:basedOn w:val="Ttulos"/>
    <w:next w:val="Corpo"/>
    <w:autoRedefine/>
    <w:rsid w:val="00AE73BA"/>
    <w:rPr>
      <w:bCs/>
    </w:rPr>
  </w:style>
  <w:style w:type="paragraph" w:customStyle="1" w:styleId="StyleCorpoBold">
    <w:name w:val="Style Corpo + Bold"/>
    <w:basedOn w:val="Corpo"/>
    <w:rsid w:val="00AE73BA"/>
    <w:rPr>
      <w:bCs/>
    </w:rPr>
  </w:style>
  <w:style w:type="character" w:customStyle="1" w:styleId="CorpoChar">
    <w:name w:val="Corpo Char"/>
    <w:rsid w:val="00AE73BA"/>
    <w:rPr>
      <w:rFonts w:ascii="Arial" w:hAnsi="Arial"/>
      <w:szCs w:val="18"/>
      <w:lang w:val="pt-PT" w:eastAsia="en-US" w:bidi="ar-SA"/>
    </w:rPr>
  </w:style>
  <w:style w:type="character" w:customStyle="1" w:styleId="StyleCorpoBoldChar">
    <w:name w:val="Style Corpo + Bold Char"/>
    <w:rsid w:val="00AE73BA"/>
    <w:rPr>
      <w:rFonts w:ascii="Arial" w:hAnsi="Arial"/>
      <w:bCs/>
      <w:szCs w:val="18"/>
      <w:lang w:val="pt-PT" w:eastAsia="en-US" w:bidi="ar-SA"/>
    </w:rPr>
  </w:style>
  <w:style w:type="paragraph" w:styleId="Textodebalo">
    <w:name w:val="Balloon Text"/>
    <w:basedOn w:val="Normal"/>
    <w:semiHidden/>
    <w:rsid w:val="00AE73BA"/>
    <w:rPr>
      <w:rFonts w:ascii="Tahoma" w:hAnsi="Tahoma" w:cs="Tahoma"/>
      <w:sz w:val="16"/>
      <w:szCs w:val="16"/>
    </w:rPr>
  </w:style>
  <w:style w:type="character" w:customStyle="1" w:styleId="highlighquery1">
    <w:name w:val="highlighquery1"/>
    <w:rsid w:val="00377A7E"/>
    <w:rPr>
      <w:rFonts w:ascii="Verdana" w:hAnsi="Verdana" w:hint="default"/>
      <w:color w:val="666666"/>
      <w:sz w:val="24"/>
      <w:szCs w:val="24"/>
      <w:shd w:val="clear" w:color="auto" w:fill="FFF0AE"/>
    </w:rPr>
  </w:style>
  <w:style w:type="character" w:customStyle="1" w:styleId="body31">
    <w:name w:val="body31"/>
    <w:rsid w:val="00A7357D"/>
    <w:rPr>
      <w:rFonts w:ascii="Verdana" w:hAnsi="Verdana" w:hint="default"/>
      <w:color w:val="666666"/>
      <w:sz w:val="17"/>
      <w:szCs w:val="17"/>
    </w:rPr>
  </w:style>
  <w:style w:type="character" w:styleId="Refdecomentrio">
    <w:name w:val="annotation reference"/>
    <w:semiHidden/>
    <w:rsid w:val="0086609A"/>
    <w:rPr>
      <w:sz w:val="16"/>
      <w:szCs w:val="16"/>
    </w:rPr>
  </w:style>
  <w:style w:type="paragraph" w:styleId="Textodecomentrio">
    <w:name w:val="annotation text"/>
    <w:basedOn w:val="Normal"/>
    <w:semiHidden/>
    <w:rsid w:val="0086609A"/>
    <w:rPr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86609A"/>
    <w:rPr>
      <w:b/>
      <w:bCs/>
    </w:rPr>
  </w:style>
  <w:style w:type="character" w:styleId="Hiperligaovisitada">
    <w:name w:val="FollowedHyperlink"/>
    <w:rsid w:val="0086609A"/>
    <w:rPr>
      <w:color w:val="800080"/>
      <w:u w:val="single"/>
    </w:rPr>
  </w:style>
  <w:style w:type="paragraph" w:customStyle="1" w:styleId="AcknowledgeHeading">
    <w:name w:val="Acknowledge Heading"/>
    <w:basedOn w:val="Ttulo2"/>
    <w:next w:val="Normal"/>
    <w:rsid w:val="002B766F"/>
    <w:pPr>
      <w:spacing w:before="340" w:after="120" w:line="284" w:lineRule="exact"/>
      <w:outlineLvl w:val="0"/>
    </w:pPr>
    <w:rPr>
      <w:rFonts w:cs="Times New Roman"/>
      <w:i w:val="0"/>
      <w:iCs w:val="0"/>
      <w:sz w:val="24"/>
      <w:szCs w:val="22"/>
    </w:rPr>
  </w:style>
  <w:style w:type="paragraph" w:customStyle="1" w:styleId="NoParagraphStyle">
    <w:name w:val="[No Paragraph Style]"/>
    <w:rsid w:val="009541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n-US"/>
    </w:rPr>
  </w:style>
  <w:style w:type="character" w:customStyle="1" w:styleId="TEXTO">
    <w:name w:val="TEXTO"/>
    <w:uiPriority w:val="99"/>
    <w:rsid w:val="0095415B"/>
    <w:rPr>
      <w:rFonts w:ascii="Cambria" w:hAnsi="Cambria" w:cs="HelveticaNeueLTStd-Lt"/>
      <w:sz w:val="20"/>
      <w:szCs w:val="20"/>
    </w:rPr>
  </w:style>
  <w:style w:type="character" w:customStyle="1" w:styleId="tw4winMark">
    <w:name w:val="tw4winMark"/>
    <w:rsid w:val="0095415B"/>
    <w:rPr>
      <w:rFonts w:ascii="Courier New" w:hAnsi="Courier New"/>
      <w:vanish/>
      <w:color w:val="800080"/>
      <w:vertAlign w:val="subscript"/>
    </w:rPr>
  </w:style>
  <w:style w:type="character" w:customStyle="1" w:styleId="TEXTO-NEGRITA">
    <w:name w:val="TEXTO- NEGRITA"/>
    <w:uiPriority w:val="99"/>
    <w:rsid w:val="0095415B"/>
    <w:rPr>
      <w:rFonts w:ascii="Cambria" w:hAnsi="Cambria" w:cs="HelveticaNeueLTStd-Bd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95415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pt-PT" w:eastAsia="zh-CN" w:bidi="th-TH"/>
    </w:rPr>
  </w:style>
  <w:style w:type="character" w:customStyle="1" w:styleId="Tipodeletrapredefinidodopargrafo1">
    <w:name w:val="Tipo de letra predefinido do parágrafo1"/>
    <w:rsid w:val="0095415B"/>
  </w:style>
  <w:style w:type="paragraph" w:customStyle="1" w:styleId="Standard">
    <w:name w:val="Standard"/>
    <w:rsid w:val="0095415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B3AB5"/>
    <w:pPr>
      <w:spacing w:after="200" w:line="276" w:lineRule="auto"/>
      <w:ind w:left="720"/>
      <w:contextualSpacing/>
      <w:jc w:val="left"/>
    </w:pPr>
    <w:rPr>
      <w:rFonts w:ascii="Calibri" w:eastAsia="SimSun" w:hAnsi="Calibri" w:cs="Cordia New"/>
      <w:sz w:val="22"/>
      <w:szCs w:val="28"/>
      <w:lang w:val="pt-PT" w:eastAsia="zh-CN" w:bidi="th-TH"/>
    </w:rPr>
  </w:style>
  <w:style w:type="character" w:customStyle="1" w:styleId="maintitle">
    <w:name w:val="maintitle"/>
    <w:rsid w:val="00050528"/>
  </w:style>
  <w:style w:type="paragraph" w:styleId="Cabealho">
    <w:name w:val="header"/>
    <w:basedOn w:val="Normal"/>
    <w:link w:val="CabealhoCarcter"/>
    <w:rsid w:val="00FF202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F202E"/>
    <w:rPr>
      <w:rFonts w:ascii="Arial" w:hAnsi="Arial"/>
      <w:szCs w:val="24"/>
      <w:lang w:val="en-US" w:eastAsia="en-US" w:bidi="ar-SA"/>
    </w:rPr>
  </w:style>
  <w:style w:type="paragraph" w:styleId="Rodap">
    <w:name w:val="footer"/>
    <w:basedOn w:val="Normal"/>
    <w:link w:val="RodapCarcter"/>
    <w:uiPriority w:val="99"/>
    <w:rsid w:val="00FF202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FF202E"/>
    <w:rPr>
      <w:rFonts w:ascii="Arial" w:hAnsi="Arial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73BA"/>
    <w:pPr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E73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73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73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73BA"/>
    <w:rPr>
      <w:color w:val="0000FF"/>
      <w:u w:val="single"/>
    </w:rPr>
  </w:style>
  <w:style w:type="paragraph" w:customStyle="1" w:styleId="Artigo">
    <w:name w:val="Artigo"/>
    <w:basedOn w:val="Normal"/>
    <w:next w:val="Autor"/>
    <w:rsid w:val="00AE73BA"/>
    <w:pPr>
      <w:jc w:val="right"/>
    </w:pPr>
    <w:rPr>
      <w:rFonts w:cs="Arial"/>
      <w:b/>
      <w:sz w:val="36"/>
      <w:szCs w:val="36"/>
      <w:lang w:val="pt-PT"/>
    </w:rPr>
  </w:style>
  <w:style w:type="paragraph" w:customStyle="1" w:styleId="Autor">
    <w:name w:val="Autor"/>
    <w:basedOn w:val="Normal"/>
    <w:next w:val="Instituio"/>
    <w:rsid w:val="00AE73BA"/>
    <w:pPr>
      <w:spacing w:before="240"/>
      <w:jc w:val="right"/>
    </w:pPr>
    <w:rPr>
      <w:rFonts w:cs="Arial"/>
      <w:b/>
      <w:lang w:val="pt-PT"/>
    </w:rPr>
  </w:style>
  <w:style w:type="paragraph" w:customStyle="1" w:styleId="Instituio">
    <w:name w:val="Instituição"/>
    <w:basedOn w:val="Normal"/>
    <w:next w:val="Ttulos"/>
    <w:rsid w:val="00AE73BA"/>
    <w:pPr>
      <w:jc w:val="right"/>
    </w:pPr>
    <w:rPr>
      <w:rFonts w:cs="Arial"/>
      <w:szCs w:val="20"/>
      <w:lang w:val="pt-PT"/>
    </w:rPr>
  </w:style>
  <w:style w:type="paragraph" w:customStyle="1" w:styleId="Style1">
    <w:name w:val="Style1"/>
    <w:basedOn w:val="Normal"/>
    <w:semiHidden/>
    <w:rsid w:val="00AE73BA"/>
    <w:pPr>
      <w:spacing w:before="240" w:after="120"/>
    </w:pPr>
    <w:rPr>
      <w:rFonts w:cs="Arial"/>
      <w:b/>
      <w:caps/>
      <w:sz w:val="22"/>
      <w:szCs w:val="22"/>
      <w:lang w:val="pt-PT"/>
    </w:rPr>
  </w:style>
  <w:style w:type="paragraph" w:customStyle="1" w:styleId="Ttulos">
    <w:name w:val="Títulos"/>
    <w:basedOn w:val="Normal"/>
    <w:next w:val="Corpo"/>
    <w:autoRedefine/>
    <w:rsid w:val="0095415B"/>
    <w:pPr>
      <w:outlineLvl w:val="0"/>
    </w:pPr>
    <w:rPr>
      <w:rFonts w:cs="Arial"/>
      <w:b/>
      <w:szCs w:val="22"/>
      <w:lang w:val="en-GB"/>
    </w:rPr>
  </w:style>
  <w:style w:type="paragraph" w:customStyle="1" w:styleId="Corpo">
    <w:name w:val="Corpo"/>
    <w:basedOn w:val="Normal"/>
    <w:autoRedefine/>
    <w:rsid w:val="00502299"/>
    <w:pPr>
      <w:spacing w:line="480" w:lineRule="auto"/>
    </w:pPr>
    <w:rPr>
      <w:rFonts w:ascii="Times New Roman" w:hAnsi="Times New Roman"/>
      <w:sz w:val="24"/>
      <w:lang w:val="pt-PT"/>
    </w:rPr>
  </w:style>
  <w:style w:type="paragraph" w:styleId="Caption">
    <w:name w:val="caption"/>
    <w:aliases w:val="nº Tabela"/>
    <w:basedOn w:val="Normal"/>
    <w:next w:val="Normal"/>
    <w:autoRedefine/>
    <w:qFormat/>
    <w:rsid w:val="00AE73BA"/>
    <w:pPr>
      <w:spacing w:before="240" w:after="240"/>
      <w:jc w:val="center"/>
    </w:pPr>
    <w:rPr>
      <w:bCs/>
      <w:sz w:val="18"/>
      <w:szCs w:val="20"/>
      <w:lang w:val="pt-PT"/>
    </w:rPr>
  </w:style>
  <w:style w:type="character" w:styleId="Strong">
    <w:name w:val="Strong"/>
    <w:uiPriority w:val="22"/>
    <w:qFormat/>
    <w:rsid w:val="00AE73BA"/>
    <w:rPr>
      <w:b/>
      <w:bCs/>
    </w:rPr>
  </w:style>
  <w:style w:type="paragraph" w:customStyle="1" w:styleId="Cabealhotabela">
    <w:name w:val="Cabeçalho tabela"/>
    <w:basedOn w:val="Normal"/>
    <w:rsid w:val="00AE73BA"/>
    <w:pPr>
      <w:jc w:val="center"/>
    </w:pPr>
    <w:rPr>
      <w:sz w:val="18"/>
      <w:szCs w:val="18"/>
      <w:lang w:val="pt-PT"/>
    </w:rPr>
  </w:style>
  <w:style w:type="paragraph" w:customStyle="1" w:styleId="CorpoTabela">
    <w:name w:val="Corpo Tabela"/>
    <w:basedOn w:val="Normal"/>
    <w:autoRedefine/>
    <w:rsid w:val="00AE73BA"/>
    <w:pPr>
      <w:jc w:val="center"/>
    </w:pPr>
    <w:rPr>
      <w:sz w:val="18"/>
      <w:szCs w:val="18"/>
      <w:lang w:val="pt-PT"/>
    </w:rPr>
  </w:style>
  <w:style w:type="paragraph" w:customStyle="1" w:styleId="Bibliografia1">
    <w:name w:val="Bibliografia1"/>
    <w:basedOn w:val="Caption"/>
    <w:autoRedefine/>
    <w:rsid w:val="00AE73BA"/>
    <w:pPr>
      <w:tabs>
        <w:tab w:val="left" w:pos="180"/>
      </w:tabs>
      <w:spacing w:before="0" w:after="0"/>
      <w:jc w:val="both"/>
    </w:pPr>
  </w:style>
  <w:style w:type="paragraph" w:customStyle="1" w:styleId="MTDisplayEquation">
    <w:name w:val="MTDisplayEquation"/>
    <w:basedOn w:val="Corpo"/>
    <w:next w:val="Normal"/>
    <w:rsid w:val="00AE73BA"/>
    <w:pPr>
      <w:tabs>
        <w:tab w:val="center" w:pos="3460"/>
        <w:tab w:val="right" w:pos="6920"/>
      </w:tabs>
    </w:pPr>
  </w:style>
  <w:style w:type="paragraph" w:customStyle="1" w:styleId="Figura">
    <w:name w:val="Figura"/>
    <w:basedOn w:val="Corpo"/>
    <w:rsid w:val="00AE73BA"/>
    <w:pPr>
      <w:spacing w:before="240" w:after="240"/>
    </w:pPr>
  </w:style>
  <w:style w:type="paragraph" w:customStyle="1" w:styleId="Subttulos">
    <w:name w:val="Subtítulos"/>
    <w:basedOn w:val="Ttulos"/>
    <w:next w:val="Corpo"/>
    <w:autoRedefine/>
    <w:rsid w:val="00AE73BA"/>
    <w:rPr>
      <w:bCs/>
    </w:rPr>
  </w:style>
  <w:style w:type="paragraph" w:customStyle="1" w:styleId="StyleCorpoBold">
    <w:name w:val="Style Corpo + Bold"/>
    <w:basedOn w:val="Corpo"/>
    <w:rsid w:val="00AE73BA"/>
    <w:rPr>
      <w:bCs/>
    </w:rPr>
  </w:style>
  <w:style w:type="character" w:customStyle="1" w:styleId="CorpoChar">
    <w:name w:val="Corpo Char"/>
    <w:rsid w:val="00AE73BA"/>
    <w:rPr>
      <w:rFonts w:ascii="Arial" w:hAnsi="Arial"/>
      <w:szCs w:val="18"/>
      <w:lang w:val="pt-PT" w:eastAsia="en-US" w:bidi="ar-SA"/>
    </w:rPr>
  </w:style>
  <w:style w:type="character" w:customStyle="1" w:styleId="StyleCorpoBoldChar">
    <w:name w:val="Style Corpo + Bold Char"/>
    <w:rsid w:val="00AE73BA"/>
    <w:rPr>
      <w:rFonts w:ascii="Arial" w:hAnsi="Arial"/>
      <w:bCs/>
      <w:szCs w:val="18"/>
      <w:lang w:val="pt-PT" w:eastAsia="en-US" w:bidi="ar-SA"/>
    </w:rPr>
  </w:style>
  <w:style w:type="paragraph" w:styleId="BalloonText">
    <w:name w:val="Balloon Text"/>
    <w:basedOn w:val="Normal"/>
    <w:semiHidden/>
    <w:rsid w:val="00AE73BA"/>
    <w:rPr>
      <w:rFonts w:ascii="Tahoma" w:hAnsi="Tahoma" w:cs="Tahoma"/>
      <w:sz w:val="16"/>
      <w:szCs w:val="16"/>
    </w:rPr>
  </w:style>
  <w:style w:type="character" w:customStyle="1" w:styleId="highlighquery1">
    <w:name w:val="highlighquery1"/>
    <w:rsid w:val="00377A7E"/>
    <w:rPr>
      <w:rFonts w:ascii="Verdana" w:hAnsi="Verdana" w:hint="default"/>
      <w:color w:val="666666"/>
      <w:sz w:val="24"/>
      <w:szCs w:val="24"/>
      <w:shd w:val="clear" w:color="auto" w:fill="FFF0AE"/>
    </w:rPr>
  </w:style>
  <w:style w:type="character" w:customStyle="1" w:styleId="body31">
    <w:name w:val="body31"/>
    <w:rsid w:val="00A7357D"/>
    <w:rPr>
      <w:rFonts w:ascii="Verdana" w:hAnsi="Verdana" w:hint="default"/>
      <w:color w:val="666666"/>
      <w:sz w:val="17"/>
      <w:szCs w:val="17"/>
    </w:rPr>
  </w:style>
  <w:style w:type="character" w:styleId="CommentReference">
    <w:name w:val="annotation reference"/>
    <w:semiHidden/>
    <w:rsid w:val="0086609A"/>
    <w:rPr>
      <w:sz w:val="16"/>
      <w:szCs w:val="16"/>
    </w:rPr>
  </w:style>
  <w:style w:type="paragraph" w:styleId="CommentText">
    <w:name w:val="annotation text"/>
    <w:basedOn w:val="Normal"/>
    <w:semiHidden/>
    <w:rsid w:val="0086609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6609A"/>
    <w:rPr>
      <w:b/>
      <w:bCs/>
    </w:rPr>
  </w:style>
  <w:style w:type="character" w:styleId="FollowedHyperlink">
    <w:name w:val="FollowedHyperlink"/>
    <w:rsid w:val="0086609A"/>
    <w:rPr>
      <w:color w:val="800080"/>
      <w:u w:val="single"/>
    </w:rPr>
  </w:style>
  <w:style w:type="paragraph" w:customStyle="1" w:styleId="AcknowledgeHeading">
    <w:name w:val="Acknowledge Heading"/>
    <w:basedOn w:val="Heading2"/>
    <w:next w:val="Normal"/>
    <w:rsid w:val="002B766F"/>
    <w:pPr>
      <w:spacing w:before="340" w:after="120" w:line="284" w:lineRule="exact"/>
      <w:outlineLvl w:val="0"/>
    </w:pPr>
    <w:rPr>
      <w:rFonts w:cs="Times New Roman"/>
      <w:i w:val="0"/>
      <w:iCs w:val="0"/>
      <w:sz w:val="24"/>
      <w:szCs w:val="22"/>
    </w:rPr>
  </w:style>
  <w:style w:type="paragraph" w:customStyle="1" w:styleId="NoParagraphStyle">
    <w:name w:val="[No Paragraph Style]"/>
    <w:rsid w:val="009541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n-US"/>
    </w:rPr>
  </w:style>
  <w:style w:type="character" w:customStyle="1" w:styleId="TEXTO">
    <w:name w:val="TEXTO"/>
    <w:uiPriority w:val="99"/>
    <w:rsid w:val="0095415B"/>
    <w:rPr>
      <w:rFonts w:ascii="Cambria" w:hAnsi="Cambria" w:cs="HelveticaNeueLTStd-Lt"/>
      <w:sz w:val="20"/>
      <w:szCs w:val="20"/>
    </w:rPr>
  </w:style>
  <w:style w:type="character" w:customStyle="1" w:styleId="tw4winMark">
    <w:name w:val="tw4winMark"/>
    <w:rsid w:val="0095415B"/>
    <w:rPr>
      <w:rFonts w:ascii="Courier New" w:hAnsi="Courier New"/>
      <w:vanish/>
      <w:color w:val="800080"/>
      <w:vertAlign w:val="subscript"/>
    </w:rPr>
  </w:style>
  <w:style w:type="character" w:customStyle="1" w:styleId="TEXTO-NEGRITA">
    <w:name w:val="TEXTO- NEGRITA"/>
    <w:uiPriority w:val="99"/>
    <w:rsid w:val="0095415B"/>
    <w:rPr>
      <w:rFonts w:ascii="Cambria" w:hAnsi="Cambria" w:cs="HelveticaNeueLTStd-Bd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95415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pt-PT" w:eastAsia="zh-CN" w:bidi="th-TH"/>
    </w:rPr>
  </w:style>
  <w:style w:type="character" w:customStyle="1" w:styleId="Tipodeletrapredefinidodopargrafo1">
    <w:name w:val="Tipo de letra predefinido do parágrafo1"/>
    <w:rsid w:val="0095415B"/>
  </w:style>
  <w:style w:type="paragraph" w:customStyle="1" w:styleId="Standard">
    <w:name w:val="Standard"/>
    <w:rsid w:val="0095415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B3AB5"/>
    <w:pPr>
      <w:spacing w:after="200" w:line="276" w:lineRule="auto"/>
      <w:ind w:left="720"/>
      <w:contextualSpacing/>
      <w:jc w:val="left"/>
    </w:pPr>
    <w:rPr>
      <w:rFonts w:ascii="Calibri" w:eastAsia="SimSun" w:hAnsi="Calibri" w:cs="Cordia New"/>
      <w:sz w:val="22"/>
      <w:szCs w:val="28"/>
      <w:lang w:val="pt-PT" w:eastAsia="zh-CN" w:bidi="th-TH"/>
    </w:rPr>
  </w:style>
  <w:style w:type="character" w:customStyle="1" w:styleId="maintitle">
    <w:name w:val="maintitle"/>
    <w:rsid w:val="00050528"/>
  </w:style>
  <w:style w:type="paragraph" w:styleId="Header">
    <w:name w:val="header"/>
    <w:basedOn w:val="Normal"/>
    <w:link w:val="HeaderChar"/>
    <w:rsid w:val="00FF202E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FF202E"/>
    <w:rPr>
      <w:rFonts w:ascii="Arial" w:hAnsi="Arial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F202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F202E"/>
    <w:rPr>
      <w:rFonts w:ascii="Arial" w:hAnsi="Arial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3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090">
          <w:marLeft w:val="150"/>
          <w:marRight w:val="15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8171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114">
              <w:marLeft w:val="180"/>
              <w:marRight w:val="18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Local%20Settings\Temporary%20Internet%20Files\Content.IE5\ULQVAVM1\I%20Jornadas%20ICAM_templa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 Jornadas ICAM_template</Template>
  <TotalTime>19</TotalTime>
  <Pages>14</Pages>
  <Words>2553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Título do Artigo</vt:lpstr>
      <vt:lpstr>Título do Artigo</vt:lpstr>
    </vt:vector>
  </TitlesOfParts>
  <Company>sposho</Company>
  <LinksUpToDate>false</LinksUpToDate>
  <CharactersWithSpaces>16310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Artigo</dc:title>
  <dc:creator>SPOSHO</dc:creator>
  <cp:lastModifiedBy>António Martins</cp:lastModifiedBy>
  <cp:revision>3</cp:revision>
  <cp:lastPrinted>2010-06-22T15:17:00Z</cp:lastPrinted>
  <dcterms:created xsi:type="dcterms:W3CDTF">2015-03-22T10:12:00Z</dcterms:created>
  <dcterms:modified xsi:type="dcterms:W3CDTF">2015-03-22T10:13:00Z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