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xlsm" ContentType="application/vnd.ms-excel.sheet.macroEnabled.12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E7" w:rsidRDefault="002307E7" w:rsidP="002307E7">
      <w:pPr>
        <w:keepNext/>
        <w:spacing w:line="360" w:lineRule="auto"/>
        <w:jc w:val="center"/>
      </w:pPr>
      <w:r>
        <w:rPr>
          <w:rFonts w:ascii="Calibri" w:hAnsi="Calibri"/>
          <w:noProof/>
          <w:lang w:val="en-US" w:eastAsia="en-US"/>
        </w:rPr>
        <w:drawing>
          <wp:inline distT="0" distB="0" distL="0" distR="0">
            <wp:extent cx="4584700" cy="233680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73BF7">
        <w:rPr>
          <w:rFonts w:ascii="Cambria" w:hAnsi="Cambria"/>
          <w:b/>
          <w:color w:val="auto"/>
        </w:rPr>
        <w:t xml:space="preserve">Gráfico </w:t>
      </w:r>
      <w:r w:rsidRPr="00873BF7">
        <w:rPr>
          <w:rFonts w:ascii="Cambria" w:hAnsi="Cambria"/>
          <w:b/>
          <w:color w:val="auto"/>
        </w:rPr>
        <w:fldChar w:fldCharType="begin"/>
      </w:r>
      <w:r w:rsidRPr="00873BF7">
        <w:rPr>
          <w:rFonts w:ascii="Cambria" w:hAnsi="Cambria"/>
          <w:b/>
          <w:color w:val="auto"/>
        </w:rPr>
        <w:instrText xml:space="preserve"> SEQ Gráfico \* ARABIC </w:instrText>
      </w:r>
      <w:r w:rsidRPr="00873BF7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1</w:t>
      </w:r>
      <w:r w:rsidRPr="00873BF7">
        <w:rPr>
          <w:rFonts w:ascii="Cambria" w:hAnsi="Cambria"/>
          <w:b/>
          <w:color w:val="auto"/>
        </w:rPr>
        <w:fldChar w:fldCharType="end"/>
      </w:r>
      <w:r w:rsidRPr="00873BF7">
        <w:rPr>
          <w:rFonts w:ascii="Cambria" w:hAnsi="Cambria"/>
          <w:b/>
          <w:color w:val="auto"/>
        </w:rPr>
        <w:t>. Cuidadores que responderam ao questionário</w:t>
      </w:r>
    </w:p>
    <w:p w:rsidR="00C000B6" w:rsidRDefault="00C000B6"/>
    <w:p w:rsidR="002307E7" w:rsidRDefault="002307E7" w:rsidP="002307E7">
      <w:pPr>
        <w:keepNext/>
        <w:spacing w:line="360" w:lineRule="auto"/>
        <w:jc w:val="center"/>
      </w:pPr>
      <w:r>
        <w:rPr>
          <w:rFonts w:ascii="Calibri" w:hAnsi="Calibri"/>
          <w:noProof/>
          <w:lang w:val="en-US" w:eastAsia="en-US"/>
        </w:rPr>
        <w:drawing>
          <wp:inline distT="0" distB="0" distL="0" distR="0">
            <wp:extent cx="4495800" cy="2692400"/>
            <wp:effectExtent l="0" t="0" r="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307E7" w:rsidRPr="00873BF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73BF7">
        <w:rPr>
          <w:rFonts w:ascii="Cambria" w:hAnsi="Cambria"/>
          <w:b/>
          <w:color w:val="auto"/>
        </w:rPr>
        <w:t xml:space="preserve">Gráfico </w:t>
      </w:r>
      <w:r w:rsidRPr="00873BF7">
        <w:rPr>
          <w:rFonts w:ascii="Cambria" w:hAnsi="Cambria"/>
          <w:b/>
          <w:color w:val="auto"/>
        </w:rPr>
        <w:fldChar w:fldCharType="begin"/>
      </w:r>
      <w:r w:rsidRPr="00873BF7">
        <w:rPr>
          <w:rFonts w:ascii="Cambria" w:hAnsi="Cambria"/>
          <w:b/>
          <w:color w:val="auto"/>
        </w:rPr>
        <w:instrText xml:space="preserve"> SEQ Gráfico \* ARABIC </w:instrText>
      </w:r>
      <w:r w:rsidRPr="00873BF7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2</w:t>
      </w:r>
      <w:r w:rsidRPr="00873BF7">
        <w:rPr>
          <w:rFonts w:ascii="Cambria" w:hAnsi="Cambria"/>
          <w:b/>
          <w:color w:val="auto"/>
        </w:rPr>
        <w:fldChar w:fldCharType="end"/>
      </w:r>
      <w:r w:rsidRPr="00873BF7">
        <w:rPr>
          <w:rFonts w:ascii="Cambria" w:hAnsi="Cambria"/>
          <w:b/>
          <w:color w:val="auto"/>
        </w:rPr>
        <w:t>. Nível de escolaridade do cuidador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rFonts w:ascii="Calibri" w:hAnsi="Calibri"/>
          <w:noProof/>
          <w:lang w:val="en-US" w:eastAsia="en-US"/>
        </w:rPr>
        <w:lastRenderedPageBreak/>
        <w:drawing>
          <wp:inline distT="0" distB="0" distL="0" distR="0">
            <wp:extent cx="4229100" cy="2667000"/>
            <wp:effectExtent l="0" t="0" r="0" b="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73BF7">
        <w:rPr>
          <w:rFonts w:ascii="Cambria" w:hAnsi="Cambria"/>
          <w:b/>
          <w:color w:val="auto"/>
        </w:rPr>
        <w:t xml:space="preserve">Gráfico </w:t>
      </w:r>
      <w:r w:rsidRPr="00873BF7">
        <w:rPr>
          <w:rFonts w:ascii="Cambria" w:hAnsi="Cambria"/>
          <w:b/>
          <w:color w:val="auto"/>
        </w:rPr>
        <w:fldChar w:fldCharType="begin"/>
      </w:r>
      <w:r w:rsidRPr="00873BF7">
        <w:rPr>
          <w:rFonts w:ascii="Cambria" w:hAnsi="Cambria"/>
          <w:b/>
          <w:color w:val="auto"/>
        </w:rPr>
        <w:instrText xml:space="preserve"> SEQ Gráfico \* ARABIC </w:instrText>
      </w:r>
      <w:r w:rsidRPr="00873BF7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3</w:t>
      </w:r>
      <w:r w:rsidRPr="00873BF7">
        <w:rPr>
          <w:rFonts w:ascii="Cambria" w:hAnsi="Cambria"/>
          <w:b/>
          <w:color w:val="auto"/>
        </w:rPr>
        <w:fldChar w:fldCharType="end"/>
      </w:r>
      <w:r w:rsidRPr="00873BF7">
        <w:rPr>
          <w:rFonts w:ascii="Cambria" w:hAnsi="Cambria"/>
          <w:b/>
          <w:color w:val="auto"/>
        </w:rPr>
        <w:t xml:space="preserve">. Distribuição da profissão do cuidador por </w:t>
      </w:r>
      <w:proofErr w:type="spellStart"/>
      <w:r w:rsidRPr="00873BF7">
        <w:rPr>
          <w:rFonts w:ascii="Cambria" w:hAnsi="Cambria"/>
          <w:b/>
          <w:color w:val="auto"/>
        </w:rPr>
        <w:t>se</w:t>
      </w:r>
      <w:r>
        <w:rPr>
          <w:rFonts w:ascii="Cambria" w:hAnsi="Cambria"/>
          <w:b/>
          <w:color w:val="auto"/>
        </w:rPr>
        <w:t>tor</w:t>
      </w:r>
      <w:proofErr w:type="spellEnd"/>
      <w:r>
        <w:rPr>
          <w:rFonts w:ascii="Cambria" w:hAnsi="Cambria"/>
          <w:b/>
          <w:color w:val="auto"/>
        </w:rPr>
        <w:t xml:space="preserve"> económico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rFonts w:ascii="Calibri" w:hAnsi="Calibri"/>
          <w:noProof/>
          <w:lang w:val="en-US" w:eastAsia="en-US"/>
        </w:rPr>
        <w:drawing>
          <wp:inline distT="0" distB="0" distL="0" distR="0">
            <wp:extent cx="3708400" cy="2349500"/>
            <wp:effectExtent l="0" t="0" r="0" b="0"/>
            <wp:docPr id="7" name="Objec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07E7" w:rsidRPr="00873BF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73BF7">
        <w:rPr>
          <w:rFonts w:ascii="Cambria" w:hAnsi="Cambria"/>
          <w:b/>
          <w:color w:val="auto"/>
        </w:rPr>
        <w:t xml:space="preserve">Gráfico </w:t>
      </w:r>
      <w:r w:rsidRPr="00873BF7">
        <w:rPr>
          <w:rFonts w:ascii="Cambria" w:hAnsi="Cambria"/>
          <w:b/>
          <w:color w:val="auto"/>
        </w:rPr>
        <w:fldChar w:fldCharType="begin"/>
      </w:r>
      <w:r w:rsidRPr="00873BF7">
        <w:rPr>
          <w:rFonts w:ascii="Cambria" w:hAnsi="Cambria"/>
          <w:b/>
          <w:color w:val="auto"/>
        </w:rPr>
        <w:instrText xml:space="preserve"> SEQ Gráfico \* ARABIC </w:instrText>
      </w:r>
      <w:r w:rsidRPr="00873BF7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4</w:t>
      </w:r>
      <w:r w:rsidRPr="00873BF7">
        <w:rPr>
          <w:rFonts w:ascii="Cambria" w:hAnsi="Cambria"/>
          <w:b/>
          <w:color w:val="auto"/>
        </w:rPr>
        <w:fldChar w:fldCharType="end"/>
      </w:r>
      <w:r w:rsidRPr="00873BF7">
        <w:rPr>
          <w:rFonts w:ascii="Cambria" w:hAnsi="Cambria"/>
          <w:b/>
          <w:color w:val="auto"/>
        </w:rPr>
        <w:t>. Distribuição por género da criança/adolescente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rFonts w:ascii="Calibri" w:hAnsi="Calibri"/>
          <w:noProof/>
          <w:lang w:val="en-US" w:eastAsia="en-US"/>
        </w:rPr>
        <w:drawing>
          <wp:inline distT="0" distB="0" distL="0" distR="0">
            <wp:extent cx="4165600" cy="2692400"/>
            <wp:effectExtent l="0" t="0" r="0" b="0"/>
            <wp:docPr id="9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73BF7">
        <w:rPr>
          <w:rFonts w:ascii="Cambria" w:hAnsi="Cambria"/>
          <w:b/>
          <w:color w:val="auto"/>
        </w:rPr>
        <w:t xml:space="preserve">Gráfico </w:t>
      </w:r>
      <w:r w:rsidRPr="00873BF7">
        <w:rPr>
          <w:rFonts w:ascii="Cambria" w:hAnsi="Cambria"/>
          <w:b/>
          <w:color w:val="auto"/>
        </w:rPr>
        <w:fldChar w:fldCharType="begin"/>
      </w:r>
      <w:r w:rsidRPr="00873BF7">
        <w:rPr>
          <w:rFonts w:ascii="Cambria" w:hAnsi="Cambria"/>
          <w:b/>
          <w:color w:val="auto"/>
        </w:rPr>
        <w:instrText xml:space="preserve"> SEQ Gráfico \* ARABIC </w:instrText>
      </w:r>
      <w:r w:rsidRPr="00873BF7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5</w:t>
      </w:r>
      <w:r w:rsidRPr="00873BF7">
        <w:rPr>
          <w:rFonts w:ascii="Cambria" w:hAnsi="Cambria"/>
          <w:b/>
          <w:color w:val="auto"/>
        </w:rPr>
        <w:fldChar w:fldCharType="end"/>
      </w:r>
      <w:r w:rsidRPr="00873BF7">
        <w:rPr>
          <w:rFonts w:ascii="Cambria" w:hAnsi="Cambria"/>
          <w:b/>
          <w:color w:val="auto"/>
        </w:rPr>
        <w:t>. Problema de pele na criança/adolescente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rFonts w:ascii="Calibri" w:hAnsi="Calibri"/>
          <w:noProof/>
          <w:lang w:val="en-US" w:eastAsia="en-US"/>
        </w:rPr>
        <w:drawing>
          <wp:inline distT="0" distB="0" distL="0" distR="0">
            <wp:extent cx="4254500" cy="2260600"/>
            <wp:effectExtent l="0" t="0" r="0" b="0"/>
            <wp:docPr id="11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73BF7">
        <w:rPr>
          <w:rFonts w:ascii="Cambria" w:hAnsi="Cambria"/>
          <w:b/>
          <w:color w:val="auto"/>
        </w:rPr>
        <w:t xml:space="preserve">Gráfico </w:t>
      </w:r>
      <w:r w:rsidRPr="00873BF7">
        <w:rPr>
          <w:rFonts w:ascii="Cambria" w:hAnsi="Cambria"/>
          <w:b/>
          <w:color w:val="auto"/>
        </w:rPr>
        <w:fldChar w:fldCharType="begin"/>
      </w:r>
      <w:r w:rsidRPr="00873BF7">
        <w:rPr>
          <w:rFonts w:ascii="Cambria" w:hAnsi="Cambria"/>
          <w:b/>
          <w:color w:val="auto"/>
        </w:rPr>
        <w:instrText xml:space="preserve"> SEQ Gráfico \* ARABIC </w:instrText>
      </w:r>
      <w:r w:rsidRPr="00873BF7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6</w:t>
      </w:r>
      <w:r w:rsidRPr="00873BF7">
        <w:rPr>
          <w:rFonts w:ascii="Cambria" w:hAnsi="Cambria"/>
          <w:b/>
          <w:color w:val="auto"/>
        </w:rPr>
        <w:fldChar w:fldCharType="end"/>
      </w:r>
      <w:r w:rsidRPr="00873BF7">
        <w:rPr>
          <w:rFonts w:ascii="Cambria" w:hAnsi="Cambria"/>
          <w:b/>
          <w:color w:val="auto"/>
        </w:rPr>
        <w:t>. Tipo de pele da criança/adolescente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rFonts w:ascii="Calibri" w:hAnsi="Calibri"/>
          <w:noProof/>
          <w:lang w:val="en-US" w:eastAsia="en-US"/>
        </w:rPr>
        <w:drawing>
          <wp:inline distT="0" distB="0" distL="0" distR="0">
            <wp:extent cx="4381500" cy="2324100"/>
            <wp:effectExtent l="0" t="0" r="0" b="0"/>
            <wp:docPr id="13" name="Object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07E7" w:rsidRPr="00873BF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73BF7">
        <w:rPr>
          <w:rFonts w:ascii="Cambria" w:hAnsi="Cambria"/>
          <w:b/>
          <w:color w:val="auto"/>
        </w:rPr>
        <w:t xml:space="preserve">Gráfico </w:t>
      </w:r>
      <w:r w:rsidRPr="00873BF7">
        <w:rPr>
          <w:rFonts w:ascii="Cambria" w:hAnsi="Cambria"/>
          <w:b/>
          <w:color w:val="auto"/>
        </w:rPr>
        <w:fldChar w:fldCharType="begin"/>
      </w:r>
      <w:r w:rsidRPr="00873BF7">
        <w:rPr>
          <w:rFonts w:ascii="Cambria" w:hAnsi="Cambria"/>
          <w:b/>
          <w:color w:val="auto"/>
        </w:rPr>
        <w:instrText xml:space="preserve"> SEQ Gráfico \* ARABIC </w:instrText>
      </w:r>
      <w:r w:rsidRPr="00873BF7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7</w:t>
      </w:r>
      <w:r w:rsidRPr="00873BF7">
        <w:rPr>
          <w:rFonts w:ascii="Cambria" w:hAnsi="Cambria"/>
          <w:b/>
          <w:color w:val="auto"/>
        </w:rPr>
        <w:fldChar w:fldCharType="end"/>
      </w:r>
      <w:r w:rsidRPr="00873BF7">
        <w:rPr>
          <w:rFonts w:ascii="Cambria" w:hAnsi="Cambria"/>
          <w:b/>
          <w:color w:val="auto"/>
        </w:rPr>
        <w:t>. Presença de sardas na criança/adolescente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rFonts w:ascii="Calibri" w:hAnsi="Calibri"/>
          <w:noProof/>
          <w:lang w:val="en-US" w:eastAsia="en-US"/>
        </w:rPr>
        <w:drawing>
          <wp:inline distT="0" distB="0" distL="0" distR="0">
            <wp:extent cx="4178300" cy="2628900"/>
            <wp:effectExtent l="0" t="0" r="0" b="0"/>
            <wp:docPr id="15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73BF7">
        <w:rPr>
          <w:rFonts w:ascii="Cambria" w:hAnsi="Cambria"/>
          <w:b/>
          <w:color w:val="auto"/>
        </w:rPr>
        <w:t xml:space="preserve">Gráfico </w:t>
      </w:r>
      <w:r w:rsidRPr="00873BF7">
        <w:rPr>
          <w:rFonts w:ascii="Cambria" w:hAnsi="Cambria"/>
          <w:b/>
          <w:color w:val="auto"/>
        </w:rPr>
        <w:fldChar w:fldCharType="begin"/>
      </w:r>
      <w:r w:rsidRPr="00873BF7">
        <w:rPr>
          <w:rFonts w:ascii="Cambria" w:hAnsi="Cambria"/>
          <w:b/>
          <w:color w:val="auto"/>
        </w:rPr>
        <w:instrText xml:space="preserve"> SEQ Gráfico \* ARABIC </w:instrText>
      </w:r>
      <w:r w:rsidRPr="00873BF7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8</w:t>
      </w:r>
      <w:r w:rsidRPr="00873BF7">
        <w:rPr>
          <w:rFonts w:ascii="Cambria" w:hAnsi="Cambria"/>
          <w:b/>
          <w:color w:val="auto"/>
        </w:rPr>
        <w:fldChar w:fldCharType="end"/>
      </w:r>
      <w:r w:rsidRPr="00873BF7">
        <w:rPr>
          <w:rFonts w:ascii="Cambria" w:hAnsi="Cambria"/>
          <w:b/>
          <w:color w:val="auto"/>
        </w:rPr>
        <w:t>. Horário da exposição solar da criança/adolescente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rFonts w:ascii="Calibri" w:hAnsi="Calibri"/>
          <w:noProof/>
          <w:lang w:val="en-US" w:eastAsia="en-US"/>
        </w:rPr>
        <w:drawing>
          <wp:inline distT="0" distB="0" distL="0" distR="0">
            <wp:extent cx="4203700" cy="2628900"/>
            <wp:effectExtent l="0" t="0" r="0" b="0"/>
            <wp:docPr id="17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07E7" w:rsidRPr="00873BF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73BF7">
        <w:rPr>
          <w:rFonts w:ascii="Cambria" w:hAnsi="Cambria"/>
          <w:b/>
          <w:color w:val="auto"/>
        </w:rPr>
        <w:t xml:space="preserve">Gráfico </w:t>
      </w:r>
      <w:r w:rsidRPr="00873BF7">
        <w:rPr>
          <w:rFonts w:ascii="Cambria" w:hAnsi="Cambria"/>
          <w:b/>
          <w:color w:val="auto"/>
        </w:rPr>
        <w:fldChar w:fldCharType="begin"/>
      </w:r>
      <w:r w:rsidRPr="00873BF7">
        <w:rPr>
          <w:rFonts w:ascii="Cambria" w:hAnsi="Cambria"/>
          <w:b/>
          <w:color w:val="auto"/>
        </w:rPr>
        <w:instrText xml:space="preserve"> SEQ Gráfico \* ARABIC </w:instrText>
      </w:r>
      <w:r w:rsidRPr="00873BF7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9</w:t>
      </w:r>
      <w:r w:rsidRPr="00873BF7">
        <w:rPr>
          <w:rFonts w:ascii="Cambria" w:hAnsi="Cambria"/>
          <w:b/>
          <w:color w:val="auto"/>
        </w:rPr>
        <w:fldChar w:fldCharType="end"/>
      </w:r>
      <w:r w:rsidRPr="00873BF7">
        <w:rPr>
          <w:rFonts w:ascii="Cambria" w:hAnsi="Cambria"/>
          <w:b/>
          <w:color w:val="auto"/>
        </w:rPr>
        <w:t>. Horário da exposição solar do cuidador</w:t>
      </w:r>
    </w:p>
    <w:p w:rsidR="002307E7" w:rsidRDefault="002307E7"/>
    <w:p w:rsidR="002307E7" w:rsidRDefault="002307E7" w:rsidP="002307E7">
      <w:pPr>
        <w:spacing w:line="360" w:lineRule="auto"/>
        <w:ind w:firstLine="567"/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813"/>
        <w:gridCol w:w="2813"/>
        <w:gridCol w:w="2814"/>
      </w:tblGrid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Uso protetor solar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Criança/Adolescente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Cuidador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Sim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229 (92%)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212 (85%)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Não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17 (7%)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33 (13%)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Não respondeu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3 (1%)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4 (2%)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Total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249 (100%)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keepNext/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249 (100%)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Significância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p &lt; 0,001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keepNext/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:rsidR="002307E7" w:rsidRPr="008F7DEE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F7DEE">
        <w:rPr>
          <w:rFonts w:ascii="Cambria" w:hAnsi="Cambria"/>
          <w:b/>
          <w:color w:val="auto"/>
        </w:rPr>
        <w:t xml:space="preserve">Tabela </w:t>
      </w:r>
      <w:r w:rsidRPr="008F7DEE">
        <w:rPr>
          <w:rFonts w:ascii="Cambria" w:hAnsi="Cambria"/>
          <w:b/>
          <w:color w:val="auto"/>
        </w:rPr>
        <w:fldChar w:fldCharType="begin"/>
      </w:r>
      <w:r w:rsidRPr="008F7DEE">
        <w:rPr>
          <w:rFonts w:ascii="Cambria" w:hAnsi="Cambria"/>
          <w:b/>
          <w:color w:val="auto"/>
        </w:rPr>
        <w:instrText xml:space="preserve"> SEQ Tabela \* ARABIC </w:instrText>
      </w:r>
      <w:r w:rsidRPr="008F7DEE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1</w:t>
      </w:r>
      <w:r w:rsidRPr="008F7DEE">
        <w:rPr>
          <w:rFonts w:ascii="Cambria" w:hAnsi="Cambria"/>
          <w:b/>
          <w:color w:val="auto"/>
        </w:rPr>
        <w:fldChar w:fldCharType="end"/>
      </w:r>
      <w:r w:rsidRPr="008F7DEE">
        <w:rPr>
          <w:rFonts w:ascii="Cambria" w:hAnsi="Cambria"/>
          <w:b/>
          <w:color w:val="auto"/>
        </w:rPr>
        <w:t>. Uso de protetor solar na criança/adolescente e no cuidador</w:t>
      </w:r>
    </w:p>
    <w:p w:rsidR="002307E7" w:rsidRDefault="002307E7"/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813"/>
        <w:gridCol w:w="2813"/>
        <w:gridCol w:w="2814"/>
      </w:tblGrid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Com que frequência renova o protetor solar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Criança/Adolescente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Cuidador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Nenhuma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25 (10%)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36 (14,5%)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1 vez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68 (27,3%)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91 (36,5%)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2 vezes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88 (35,4%)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73 (29,3%)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Mais de 3 vezes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64 (25,7%)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45 (18,1%)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Não respondeu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4 (1,6%)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4 (1,6%)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Total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249 (100%)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keepNext/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249 (100%)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Significância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p &lt;0,001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keepNext/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F7DEE">
        <w:rPr>
          <w:rFonts w:ascii="Cambria" w:hAnsi="Cambria"/>
          <w:b/>
          <w:color w:val="auto"/>
        </w:rPr>
        <w:t xml:space="preserve">Tabela </w:t>
      </w:r>
      <w:r w:rsidRPr="008F7DEE">
        <w:rPr>
          <w:rFonts w:ascii="Cambria" w:hAnsi="Cambria"/>
          <w:b/>
          <w:color w:val="auto"/>
        </w:rPr>
        <w:fldChar w:fldCharType="begin"/>
      </w:r>
      <w:r w:rsidRPr="008F7DEE">
        <w:rPr>
          <w:rFonts w:ascii="Cambria" w:hAnsi="Cambria"/>
          <w:b/>
          <w:color w:val="auto"/>
        </w:rPr>
        <w:instrText xml:space="preserve"> SEQ Tabela \* ARABIC </w:instrText>
      </w:r>
      <w:r w:rsidRPr="008F7DEE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2</w:t>
      </w:r>
      <w:r w:rsidRPr="008F7DEE">
        <w:rPr>
          <w:rFonts w:ascii="Cambria" w:hAnsi="Cambria"/>
          <w:b/>
          <w:color w:val="auto"/>
        </w:rPr>
        <w:fldChar w:fldCharType="end"/>
      </w:r>
      <w:r w:rsidRPr="008F7DEE">
        <w:rPr>
          <w:rFonts w:ascii="Cambria" w:hAnsi="Cambria"/>
          <w:b/>
          <w:color w:val="auto"/>
        </w:rPr>
        <w:t>. Frequência de renovação do protetor solar na criança/adolescente e no cuidador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584700" cy="2755900"/>
            <wp:effectExtent l="0" t="0" r="0" b="0"/>
            <wp:docPr id="19" name="Gráfico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F7DEE">
        <w:rPr>
          <w:rFonts w:ascii="Cambria" w:hAnsi="Cambria"/>
          <w:b/>
          <w:color w:val="auto"/>
        </w:rPr>
        <w:t xml:space="preserve">Gráfico </w:t>
      </w:r>
      <w:r w:rsidRPr="008F7DEE">
        <w:rPr>
          <w:rFonts w:ascii="Cambria" w:hAnsi="Cambria"/>
          <w:b/>
          <w:color w:val="auto"/>
        </w:rPr>
        <w:fldChar w:fldCharType="begin"/>
      </w:r>
      <w:r w:rsidRPr="008F7DEE">
        <w:rPr>
          <w:rFonts w:ascii="Cambria" w:hAnsi="Cambria"/>
          <w:b/>
          <w:color w:val="auto"/>
        </w:rPr>
        <w:instrText xml:space="preserve"> SEQ Gráfico \* ARABIC </w:instrText>
      </w:r>
      <w:r w:rsidRPr="008F7DEE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10</w:t>
      </w:r>
      <w:r w:rsidRPr="008F7DEE">
        <w:rPr>
          <w:rFonts w:ascii="Cambria" w:hAnsi="Cambria"/>
          <w:b/>
          <w:color w:val="auto"/>
        </w:rPr>
        <w:fldChar w:fldCharType="end"/>
      </w:r>
      <w:r w:rsidRPr="008F7DEE">
        <w:rPr>
          <w:rFonts w:ascii="Cambria" w:hAnsi="Cambria"/>
          <w:b/>
          <w:color w:val="auto"/>
        </w:rPr>
        <w:t>. Fator de proteção solar mais usado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470400" cy="2451100"/>
            <wp:effectExtent l="0" t="0" r="0" b="0"/>
            <wp:docPr id="21" name="Object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307E7" w:rsidRPr="008F7DEE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F7DEE">
        <w:rPr>
          <w:rFonts w:ascii="Cambria" w:hAnsi="Cambria"/>
          <w:b/>
          <w:color w:val="auto"/>
        </w:rPr>
        <w:t xml:space="preserve">Gráfico </w:t>
      </w:r>
      <w:r w:rsidRPr="008F7DEE">
        <w:rPr>
          <w:rFonts w:ascii="Cambria" w:hAnsi="Cambria"/>
          <w:b/>
          <w:color w:val="auto"/>
        </w:rPr>
        <w:fldChar w:fldCharType="begin"/>
      </w:r>
      <w:r w:rsidRPr="008F7DEE">
        <w:rPr>
          <w:rFonts w:ascii="Cambria" w:hAnsi="Cambria"/>
          <w:b/>
          <w:color w:val="auto"/>
        </w:rPr>
        <w:instrText xml:space="preserve"> SEQ Gráfico \* ARABIC </w:instrText>
      </w:r>
      <w:r w:rsidRPr="008F7DEE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11</w:t>
      </w:r>
      <w:r w:rsidRPr="008F7DEE">
        <w:rPr>
          <w:rFonts w:ascii="Cambria" w:hAnsi="Cambria"/>
          <w:b/>
          <w:color w:val="auto"/>
        </w:rPr>
        <w:fldChar w:fldCharType="end"/>
      </w:r>
      <w:r w:rsidRPr="008F7DEE">
        <w:rPr>
          <w:rFonts w:ascii="Cambria" w:hAnsi="Cambria"/>
          <w:b/>
          <w:color w:val="auto"/>
        </w:rPr>
        <w:t xml:space="preserve">. Uso </w:t>
      </w:r>
      <w:r>
        <w:rPr>
          <w:rFonts w:ascii="Cambria" w:hAnsi="Cambria"/>
          <w:b/>
          <w:color w:val="auto"/>
        </w:rPr>
        <w:t xml:space="preserve">de </w:t>
      </w:r>
      <w:r w:rsidRPr="008F7DEE">
        <w:rPr>
          <w:rFonts w:ascii="Cambria" w:hAnsi="Cambria"/>
          <w:b/>
          <w:color w:val="auto"/>
        </w:rPr>
        <w:t>outros meios físicos de proteção solar na criança/adolescente</w:t>
      </w:r>
    </w:p>
    <w:p w:rsidR="002307E7" w:rsidRDefault="002307E7" w:rsidP="002307E7">
      <w:pPr>
        <w:keepNext/>
        <w:spacing w:line="360" w:lineRule="auto"/>
        <w:ind w:firstLine="567"/>
        <w:jc w:val="center"/>
      </w:pPr>
    </w:p>
    <w:p w:rsidR="002307E7" w:rsidRDefault="002307E7" w:rsidP="002307E7">
      <w:pPr>
        <w:keepNext/>
        <w:spacing w:line="360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572000" cy="2730500"/>
            <wp:effectExtent l="0" t="0" r="0" b="0"/>
            <wp:docPr id="22" name="Object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307E7" w:rsidRPr="00DB6325" w:rsidRDefault="002307E7" w:rsidP="002307E7">
      <w:pPr>
        <w:pStyle w:val="Caption"/>
        <w:jc w:val="center"/>
        <w:rPr>
          <w:b/>
          <w:color w:val="auto"/>
        </w:rPr>
      </w:pPr>
      <w:r w:rsidRPr="00DB6325">
        <w:rPr>
          <w:b/>
          <w:color w:val="auto"/>
        </w:rPr>
        <w:t xml:space="preserve">Gráfico </w:t>
      </w:r>
      <w:r w:rsidRPr="00DB6325">
        <w:rPr>
          <w:b/>
          <w:color w:val="auto"/>
        </w:rPr>
        <w:fldChar w:fldCharType="begin"/>
      </w:r>
      <w:r w:rsidRPr="00DB6325">
        <w:rPr>
          <w:b/>
          <w:color w:val="auto"/>
        </w:rPr>
        <w:instrText xml:space="preserve"> SEQ Gráfico \* ARABIC </w:instrText>
      </w:r>
      <w:r w:rsidRPr="00DB6325">
        <w:rPr>
          <w:b/>
          <w:color w:val="auto"/>
        </w:rPr>
        <w:fldChar w:fldCharType="separate"/>
      </w:r>
      <w:r>
        <w:rPr>
          <w:b/>
          <w:noProof/>
          <w:color w:val="auto"/>
        </w:rPr>
        <w:t>12</w:t>
      </w:r>
      <w:r w:rsidRPr="00DB6325">
        <w:rPr>
          <w:b/>
          <w:color w:val="auto"/>
        </w:rPr>
        <w:fldChar w:fldCharType="end"/>
      </w:r>
      <w:r w:rsidRPr="00DB6325">
        <w:rPr>
          <w:b/>
          <w:color w:val="auto"/>
        </w:rPr>
        <w:t>.Número de opções relativamente ao uso de outros meios físicos de proteção solar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495800" cy="2476500"/>
            <wp:effectExtent l="0" t="0" r="0" b="0"/>
            <wp:docPr id="25" name="Objec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F7DEE">
        <w:rPr>
          <w:rFonts w:ascii="Cambria" w:hAnsi="Cambria"/>
          <w:b/>
          <w:color w:val="auto"/>
        </w:rPr>
        <w:t xml:space="preserve">Gráfico </w:t>
      </w:r>
      <w:r w:rsidRPr="008F7DEE">
        <w:rPr>
          <w:rFonts w:ascii="Cambria" w:hAnsi="Cambria"/>
          <w:b/>
          <w:color w:val="auto"/>
        </w:rPr>
        <w:fldChar w:fldCharType="begin"/>
      </w:r>
      <w:r w:rsidRPr="008F7DEE">
        <w:rPr>
          <w:rFonts w:ascii="Cambria" w:hAnsi="Cambria"/>
          <w:b/>
          <w:color w:val="auto"/>
        </w:rPr>
        <w:instrText xml:space="preserve"> SEQ Gráfico \* ARABIC </w:instrText>
      </w:r>
      <w:r w:rsidRPr="008F7DEE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13</w:t>
      </w:r>
      <w:r w:rsidRPr="008F7DEE">
        <w:rPr>
          <w:rFonts w:ascii="Cambria" w:hAnsi="Cambria"/>
          <w:b/>
          <w:color w:val="auto"/>
        </w:rPr>
        <w:fldChar w:fldCharType="end"/>
      </w:r>
      <w:r w:rsidRPr="008F7DEE">
        <w:rPr>
          <w:rFonts w:ascii="Cambria" w:hAnsi="Cambria"/>
          <w:b/>
          <w:color w:val="auto"/>
        </w:rPr>
        <w:t>. Uso de outros meios físicos de proteção solar no cuidador</w:t>
      </w:r>
    </w:p>
    <w:p w:rsidR="002307E7" w:rsidRDefault="002307E7"/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813"/>
        <w:gridCol w:w="2813"/>
        <w:gridCol w:w="2814"/>
      </w:tblGrid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Uso protetor solar noutras estações do ano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Criança/Adolescente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Cuidador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Sim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71 (28,5%)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50 (20%)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Não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170 (68,3%)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187 (75,2%)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Não respondeu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8 (3,2%)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8 (3,2%)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Total n (%)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249 (100%)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keepNext/>
              <w:spacing w:line="360" w:lineRule="auto"/>
              <w:jc w:val="center"/>
              <w:rPr>
                <w:rFonts w:ascii="Calibri" w:hAnsi="Calibri"/>
              </w:rPr>
            </w:pPr>
            <w:r w:rsidRPr="00FB4809">
              <w:rPr>
                <w:rFonts w:ascii="Calibri" w:hAnsi="Calibri"/>
              </w:rPr>
              <w:t>249 (100%)</w:t>
            </w:r>
          </w:p>
        </w:tc>
      </w:tr>
      <w:tr w:rsidR="002307E7" w:rsidTr="00742A64">
        <w:trPr>
          <w:jc w:val="center"/>
        </w:trPr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Significância</w:t>
            </w:r>
          </w:p>
        </w:tc>
        <w:tc>
          <w:tcPr>
            <w:tcW w:w="2813" w:type="dxa"/>
          </w:tcPr>
          <w:p w:rsidR="002307E7" w:rsidRPr="00FB4809" w:rsidRDefault="002307E7" w:rsidP="00742A6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&lt;0,001</w:t>
            </w:r>
          </w:p>
        </w:tc>
        <w:tc>
          <w:tcPr>
            <w:tcW w:w="2814" w:type="dxa"/>
          </w:tcPr>
          <w:p w:rsidR="002307E7" w:rsidRPr="00FB4809" w:rsidRDefault="002307E7" w:rsidP="00742A64">
            <w:pPr>
              <w:keepNext/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F7DEE">
        <w:rPr>
          <w:rFonts w:ascii="Cambria" w:hAnsi="Cambria"/>
          <w:b/>
          <w:color w:val="auto"/>
        </w:rPr>
        <w:t xml:space="preserve">Tabela </w:t>
      </w:r>
      <w:r w:rsidRPr="008F7DEE">
        <w:rPr>
          <w:rFonts w:ascii="Cambria" w:hAnsi="Cambria"/>
          <w:b/>
          <w:color w:val="auto"/>
        </w:rPr>
        <w:fldChar w:fldCharType="begin"/>
      </w:r>
      <w:r w:rsidRPr="008F7DEE">
        <w:rPr>
          <w:rFonts w:ascii="Cambria" w:hAnsi="Cambria"/>
          <w:b/>
          <w:color w:val="auto"/>
        </w:rPr>
        <w:instrText xml:space="preserve"> SEQ Tabela \* ARABIC </w:instrText>
      </w:r>
      <w:r w:rsidRPr="008F7DEE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3</w:t>
      </w:r>
      <w:r w:rsidRPr="008F7DEE">
        <w:rPr>
          <w:rFonts w:ascii="Cambria" w:hAnsi="Cambria"/>
          <w:b/>
          <w:color w:val="auto"/>
        </w:rPr>
        <w:fldChar w:fldCharType="end"/>
      </w:r>
      <w:r w:rsidRPr="008F7DEE">
        <w:rPr>
          <w:rFonts w:ascii="Cambria" w:hAnsi="Cambria"/>
          <w:b/>
          <w:color w:val="auto"/>
        </w:rPr>
        <w:t>. Uso de protetor solar nas outras estações do ano na criança/adolescente e cuidador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584700" cy="2755900"/>
            <wp:effectExtent l="0" t="0" r="0" b="0"/>
            <wp:docPr id="27" name="Gráfico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307E7" w:rsidRPr="008F7DEE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F7DEE">
        <w:rPr>
          <w:rFonts w:ascii="Cambria" w:hAnsi="Cambria"/>
          <w:b/>
          <w:color w:val="auto"/>
        </w:rPr>
        <w:t xml:space="preserve">Gráfico </w:t>
      </w:r>
      <w:r w:rsidRPr="008F7DEE">
        <w:rPr>
          <w:rFonts w:ascii="Cambria" w:hAnsi="Cambria"/>
          <w:b/>
          <w:color w:val="auto"/>
        </w:rPr>
        <w:fldChar w:fldCharType="begin"/>
      </w:r>
      <w:r w:rsidRPr="008F7DEE">
        <w:rPr>
          <w:rFonts w:ascii="Cambria" w:hAnsi="Cambria"/>
          <w:b/>
          <w:color w:val="auto"/>
        </w:rPr>
        <w:instrText xml:space="preserve"> SEQ Gráfico \* ARABIC </w:instrText>
      </w:r>
      <w:r w:rsidRPr="008F7DEE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14</w:t>
      </w:r>
      <w:r w:rsidRPr="008F7DEE">
        <w:rPr>
          <w:rFonts w:ascii="Cambria" w:hAnsi="Cambria"/>
          <w:b/>
          <w:color w:val="auto"/>
        </w:rPr>
        <w:fldChar w:fldCharType="end"/>
      </w:r>
      <w:r w:rsidRPr="008F7DEE">
        <w:rPr>
          <w:rFonts w:ascii="Cambria" w:hAnsi="Cambria"/>
          <w:b/>
          <w:color w:val="auto"/>
        </w:rPr>
        <w:t>. Uso de protetor solar noutras estações do ano na criança/adolescente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584700" cy="2755900"/>
            <wp:effectExtent l="0" t="0" r="0" b="0"/>
            <wp:docPr id="29" name="Gráfico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8F7DEE">
        <w:rPr>
          <w:rFonts w:ascii="Cambria" w:hAnsi="Cambria"/>
          <w:b/>
          <w:color w:val="auto"/>
        </w:rPr>
        <w:t xml:space="preserve">Gráfico </w:t>
      </w:r>
      <w:r w:rsidRPr="008F7DEE">
        <w:rPr>
          <w:rFonts w:ascii="Cambria" w:hAnsi="Cambria"/>
          <w:b/>
          <w:color w:val="auto"/>
        </w:rPr>
        <w:fldChar w:fldCharType="begin"/>
      </w:r>
      <w:r w:rsidRPr="008F7DEE">
        <w:rPr>
          <w:rFonts w:ascii="Cambria" w:hAnsi="Cambria"/>
          <w:b/>
          <w:color w:val="auto"/>
        </w:rPr>
        <w:instrText xml:space="preserve"> SEQ Gráfico \* ARABIC </w:instrText>
      </w:r>
      <w:r w:rsidRPr="008F7DEE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15</w:t>
      </w:r>
      <w:r w:rsidRPr="008F7DEE">
        <w:rPr>
          <w:rFonts w:ascii="Cambria" w:hAnsi="Cambria"/>
          <w:b/>
          <w:color w:val="auto"/>
        </w:rPr>
        <w:fldChar w:fldCharType="end"/>
      </w:r>
      <w:r w:rsidRPr="008F7DEE">
        <w:rPr>
          <w:rFonts w:ascii="Cambria" w:hAnsi="Cambria"/>
          <w:b/>
          <w:color w:val="auto"/>
        </w:rPr>
        <w:t>. Local onde obteve maior informação sobre proteção solar</w:t>
      </w:r>
    </w:p>
    <w:p w:rsidR="002307E7" w:rsidRDefault="002307E7"/>
    <w:p w:rsidR="002307E7" w:rsidRDefault="002307E7" w:rsidP="002307E7">
      <w:pPr>
        <w:keepNext/>
        <w:spacing w:line="360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686300" cy="2768600"/>
            <wp:effectExtent l="0" t="0" r="0" b="0"/>
            <wp:docPr id="31" name="Object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307E7" w:rsidRDefault="002307E7" w:rsidP="002307E7">
      <w:pPr>
        <w:pStyle w:val="Caption"/>
        <w:jc w:val="center"/>
        <w:rPr>
          <w:rFonts w:ascii="Cambria" w:hAnsi="Cambria"/>
          <w:b/>
          <w:color w:val="auto"/>
        </w:rPr>
      </w:pPr>
      <w:r w:rsidRPr="00112B08">
        <w:rPr>
          <w:rFonts w:ascii="Cambria" w:hAnsi="Cambria"/>
          <w:b/>
          <w:color w:val="auto"/>
        </w:rPr>
        <w:t xml:space="preserve">Gráfico </w:t>
      </w:r>
      <w:r w:rsidRPr="00112B08">
        <w:rPr>
          <w:rFonts w:ascii="Cambria" w:hAnsi="Cambria"/>
          <w:b/>
          <w:color w:val="auto"/>
        </w:rPr>
        <w:fldChar w:fldCharType="begin"/>
      </w:r>
      <w:r w:rsidRPr="00112B08">
        <w:rPr>
          <w:rFonts w:ascii="Cambria" w:hAnsi="Cambria"/>
          <w:b/>
          <w:color w:val="auto"/>
        </w:rPr>
        <w:instrText xml:space="preserve"> SEQ Gráfico \* ARABIC </w:instrText>
      </w:r>
      <w:r w:rsidRPr="00112B08">
        <w:rPr>
          <w:rFonts w:ascii="Cambria" w:hAnsi="Cambria"/>
          <w:b/>
          <w:color w:val="auto"/>
        </w:rPr>
        <w:fldChar w:fldCharType="separate"/>
      </w:r>
      <w:r>
        <w:rPr>
          <w:rFonts w:ascii="Cambria" w:hAnsi="Cambria"/>
          <w:b/>
          <w:noProof/>
          <w:color w:val="auto"/>
        </w:rPr>
        <w:t>16</w:t>
      </w:r>
      <w:r w:rsidRPr="00112B08">
        <w:rPr>
          <w:rFonts w:ascii="Cambria" w:hAnsi="Cambria"/>
          <w:b/>
          <w:color w:val="auto"/>
        </w:rPr>
        <w:fldChar w:fldCharType="end"/>
      </w:r>
      <w:r w:rsidRPr="00112B08">
        <w:rPr>
          <w:rFonts w:ascii="Cambria" w:hAnsi="Cambria"/>
          <w:b/>
          <w:color w:val="auto"/>
        </w:rPr>
        <w:t>. Outro local especificado onde obteve maior informação sobre proteção solar</w:t>
      </w:r>
    </w:p>
    <w:p w:rsidR="002307E7" w:rsidRDefault="002307E7">
      <w:bookmarkStart w:id="0" w:name="_GoBack"/>
      <w:bookmarkEnd w:id="0"/>
    </w:p>
    <w:sectPr w:rsidR="002307E7" w:rsidSect="004815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E7"/>
    <w:rsid w:val="002307E7"/>
    <w:rsid w:val="00481580"/>
    <w:rsid w:val="00C0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927B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E7"/>
    <w:rPr>
      <w:rFonts w:ascii="Times New Roman" w:eastAsia="Times New Roman" w:hAnsi="Times New Roman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307E7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7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E7"/>
    <w:rPr>
      <w:rFonts w:ascii="Lucida Grande" w:eastAsia="Times New Roman" w:hAnsi="Lucida Grande" w:cs="Lucida Grande"/>
      <w:sz w:val="18"/>
      <w:szCs w:val="18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E7"/>
    <w:rPr>
      <w:rFonts w:ascii="Times New Roman" w:eastAsia="Times New Roman" w:hAnsi="Times New Roman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307E7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7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E7"/>
    <w:rPr>
      <w:rFonts w:ascii="Lucida Grande" w:eastAsia="Times New Roman" w:hAnsi="Lucida Grande" w:cs="Lucida Grande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20" Type="http://schemas.openxmlformats.org/officeDocument/2006/relationships/chart" Target="charts/chart16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chart" Target="charts/chart6.xml"/><Relationship Id="rId11" Type="http://schemas.openxmlformats.org/officeDocument/2006/relationships/chart" Target="charts/chart7.xml"/><Relationship Id="rId12" Type="http://schemas.openxmlformats.org/officeDocument/2006/relationships/chart" Target="charts/chart8.xml"/><Relationship Id="rId13" Type="http://schemas.openxmlformats.org/officeDocument/2006/relationships/chart" Target="charts/chart9.xml"/><Relationship Id="rId14" Type="http://schemas.openxmlformats.org/officeDocument/2006/relationships/chart" Target="charts/chart10.xml"/><Relationship Id="rId15" Type="http://schemas.openxmlformats.org/officeDocument/2006/relationships/chart" Target="charts/chart11.xml"/><Relationship Id="rId16" Type="http://schemas.openxmlformats.org/officeDocument/2006/relationships/chart" Target="charts/chart12.xml"/><Relationship Id="rId17" Type="http://schemas.openxmlformats.org/officeDocument/2006/relationships/chart" Target="charts/chart13.xml"/><Relationship Id="rId18" Type="http://schemas.openxmlformats.org/officeDocument/2006/relationships/chart" Target="charts/chart14.xml"/><Relationship Id="rId19" Type="http://schemas.openxmlformats.org/officeDocument/2006/relationships/chart" Target="charts/chart15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package" Target="../embeddings/Microsoft_Excel_Macro-Enabled_Worksheet1.xlsm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9.xml"/><Relationship Id="rId2" Type="http://schemas.openxmlformats.org/officeDocument/2006/relationships/package" Target="../embeddings/Microsoft_Excel_Macro-Enabled_Worksheet10.xlsm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0.xml"/><Relationship Id="rId2" Type="http://schemas.openxmlformats.org/officeDocument/2006/relationships/package" Target="../embeddings/Microsoft_Excel_Macro-Enabled_Worksheet11.xlsm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1.xml"/><Relationship Id="rId2" Type="http://schemas.openxmlformats.org/officeDocument/2006/relationships/package" Target="../embeddings/Microsoft_Excel_Macro-Enabled_Worksheet12.xlsm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2.xml"/><Relationship Id="rId2" Type="http://schemas.openxmlformats.org/officeDocument/2006/relationships/package" Target="../embeddings/Microsoft_Excel_Macro-Enabled_Worksheet13.xlsm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3.xml"/><Relationship Id="rId2" Type="http://schemas.openxmlformats.org/officeDocument/2006/relationships/package" Target="../embeddings/Microsoft_Excel_Macro-Enabled_Worksheet14.xlsm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4.xml"/><Relationship Id="rId2" Type="http://schemas.openxmlformats.org/officeDocument/2006/relationships/package" Target="../embeddings/Microsoft_Excel_Macro-Enabled_Worksheet15.xlsm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Macro-Enabled_Worksheet16.xlsm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2.xml"/><Relationship Id="rId2" Type="http://schemas.openxmlformats.org/officeDocument/2006/relationships/package" Target="../embeddings/Microsoft_Excel_Macro-Enabled_Worksheet2.xlsm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Macro-Enabled_Worksheet3.xlsm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3.xml"/><Relationship Id="rId2" Type="http://schemas.openxmlformats.org/officeDocument/2006/relationships/package" Target="../embeddings/Microsoft_Excel_Macro-Enabled_Worksheet4.xlsm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4.xml"/><Relationship Id="rId2" Type="http://schemas.openxmlformats.org/officeDocument/2006/relationships/package" Target="../embeddings/Microsoft_Excel_Macro-Enabled_Worksheet5.xlsm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5.xml"/><Relationship Id="rId2" Type="http://schemas.openxmlformats.org/officeDocument/2006/relationships/package" Target="../embeddings/Microsoft_Excel_Macro-Enabled_Worksheet6.xlsm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6.xml"/><Relationship Id="rId2" Type="http://schemas.openxmlformats.org/officeDocument/2006/relationships/package" Target="../embeddings/Microsoft_Excel_Macro-Enabled_Worksheet7.xlsm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7.xml"/><Relationship Id="rId2" Type="http://schemas.openxmlformats.org/officeDocument/2006/relationships/package" Target="../embeddings/Microsoft_Excel_Macro-Enabled_Worksheet8.xlsm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8.xml"/><Relationship Id="rId2" Type="http://schemas.openxmlformats.org/officeDocument/2006/relationships/package" Target="../embeddings/Microsoft_Excel_Macro-Enabled_Worksheet9.xlsm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  <c:spPr>
        <a:noFill/>
        <a:ln w="25427">
          <a:noFill/>
        </a:ln>
      </c:spPr>
      <c:txPr>
        <a:bodyPr/>
        <a:lstStyle/>
        <a:p>
          <a:pPr>
            <a:defRPr sz="1402">
              <a:latin typeface="+mj-lt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0991561181434599"/>
          <c:y val="0.241525423728814"/>
          <c:w val="0.850210970464135"/>
          <c:h val="0.3177966101694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Cuidadores</c:v>
                </c:pt>
              </c:strCache>
            </c:strRef>
          </c:tx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427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Sheet1!$A$2:$A$9</c:f>
              <c:strCache>
                <c:ptCount val="8"/>
                <c:pt idx="0">
                  <c:v>Mãe</c:v>
                </c:pt>
                <c:pt idx="1">
                  <c:v>Pai</c:v>
                </c:pt>
                <c:pt idx="2">
                  <c:v>Avós</c:v>
                </c:pt>
                <c:pt idx="3">
                  <c:v>Irmãos</c:v>
                </c:pt>
                <c:pt idx="4">
                  <c:v>Tios</c:v>
                </c:pt>
                <c:pt idx="5">
                  <c:v>Madrinha</c:v>
                </c:pt>
                <c:pt idx="6">
                  <c:v>Adolescente</c:v>
                </c:pt>
                <c:pt idx="7">
                  <c:v>Não responderam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201.0</c:v>
                </c:pt>
                <c:pt idx="1">
                  <c:v>33.0</c:v>
                </c:pt>
                <c:pt idx="2">
                  <c:v>4.0</c:v>
                </c:pt>
                <c:pt idx="3">
                  <c:v>2.0</c:v>
                </c:pt>
                <c:pt idx="4">
                  <c:v>2.0</c:v>
                </c:pt>
                <c:pt idx="5">
                  <c:v>1.0</c:v>
                </c:pt>
                <c:pt idx="6">
                  <c:v>1.0</c:v>
                </c:pt>
                <c:pt idx="7">
                  <c:v>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27216488"/>
        <c:axId val="2127220424"/>
      </c:barChart>
      <c:catAx>
        <c:axId val="2127216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8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2127220424"/>
        <c:crosses val="autoZero"/>
        <c:auto val="1"/>
        <c:lblAlgn val="ctr"/>
        <c:lblOffset val="100"/>
        <c:noMultiLvlLbl val="0"/>
      </c:catAx>
      <c:valAx>
        <c:axId val="2127220424"/>
        <c:scaling>
          <c:orientation val="minMax"/>
        </c:scaling>
        <c:delete val="0"/>
        <c:axPos val="l"/>
        <c:majorGridlines>
          <c:spPr>
            <a:ln w="3178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2127216488"/>
        <c:crosses val="autoZero"/>
        <c:crossBetween val="between"/>
      </c:valAx>
      <c:spPr>
        <a:solidFill>
          <a:srgbClr val="FFFFFF"/>
        </a:solidFill>
        <a:ln w="25427">
          <a:noFill/>
        </a:ln>
      </c:spPr>
    </c:plotArea>
    <c:plotVisOnly val="1"/>
    <c:dispBlanksAs val="gap"/>
    <c:showDLblsOverMax val="0"/>
  </c:chart>
  <c:spPr>
    <a:solidFill>
      <a:srgbClr val="FFFFFF"/>
    </a:solidFill>
    <a:ln w="3178">
      <a:solidFill>
        <a:srgbClr val="808080"/>
      </a:solidFill>
      <a:prstDash val="solid"/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+mj-lt"/>
              </a:defRPr>
            </a:pPr>
            <a:r>
              <a:rPr lang="pt-PT" sz="1398">
                <a:latin typeface="+mj-lt"/>
              </a:rPr>
              <a:t>Fator de proteção solar mais usado</a:t>
            </a:r>
          </a:p>
        </c:rich>
      </c:tx>
      <c:layout/>
      <c:overlay val="0"/>
      <c:spPr>
        <a:noFill/>
        <a:ln w="25367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367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Folha1!$B$29:$B$35</c:f>
              <c:strCache>
                <c:ptCount val="7"/>
                <c:pt idx="0">
                  <c:v>5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50+</c:v>
                </c:pt>
                <c:pt idx="6">
                  <c:v>Não respondeu</c:v>
                </c:pt>
              </c:strCache>
            </c:strRef>
          </c:cat>
          <c:val>
            <c:numRef>
              <c:f>Folha1!$C$29:$C$35</c:f>
              <c:numCache>
                <c:formatCode>General</c:formatCode>
                <c:ptCount val="7"/>
                <c:pt idx="0">
                  <c:v>1.0</c:v>
                </c:pt>
                <c:pt idx="1">
                  <c:v>2.0</c:v>
                </c:pt>
                <c:pt idx="2">
                  <c:v>51.0</c:v>
                </c:pt>
                <c:pt idx="3">
                  <c:v>7.0</c:v>
                </c:pt>
                <c:pt idx="4">
                  <c:v>104.0</c:v>
                </c:pt>
                <c:pt idx="5">
                  <c:v>61.0</c:v>
                </c:pt>
                <c:pt idx="6">
                  <c:v>23.0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2303576"/>
        <c:axId val="-2132300184"/>
      </c:barChart>
      <c:catAx>
        <c:axId val="-2132303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1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2300184"/>
        <c:crosses val="autoZero"/>
        <c:auto val="1"/>
        <c:lblAlgn val="ctr"/>
        <c:lblOffset val="100"/>
        <c:noMultiLvlLbl val="0"/>
      </c:catAx>
      <c:valAx>
        <c:axId val="-2132300184"/>
        <c:scaling>
          <c:orientation val="minMax"/>
        </c:scaling>
        <c:delete val="0"/>
        <c:axPos val="l"/>
        <c:majorGridlines>
          <c:spPr>
            <a:ln w="3171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3171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2303576"/>
        <c:crosses val="autoZero"/>
        <c:crossBetween val="between"/>
      </c:valAx>
      <c:spPr>
        <a:solidFill>
          <a:srgbClr val="FFFFFF"/>
        </a:solidFill>
        <a:ln w="25367">
          <a:noFill/>
        </a:ln>
      </c:spPr>
    </c:plotArea>
    <c:plotVisOnly val="1"/>
    <c:dispBlanksAs val="gap"/>
    <c:showDLblsOverMax val="0"/>
  </c:chart>
  <c:spPr>
    <a:solidFill>
      <a:srgbClr val="FFFFFF"/>
    </a:solidFill>
    <a:ln w="3171">
      <a:solidFill>
        <a:srgbClr val="808080"/>
      </a:solidFill>
      <a:prstDash val="solid"/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PT" sz="1393">
                <a:latin typeface="+mj-lt"/>
              </a:rPr>
              <a:t>Uso de outros meios físicos</a:t>
            </a:r>
            <a:r>
              <a:rPr lang="pt-PT" sz="1393" baseline="0">
                <a:latin typeface="+mj-lt"/>
              </a:rPr>
              <a:t> </a:t>
            </a:r>
            <a:r>
              <a:rPr lang="pt-PT" sz="1393">
                <a:latin typeface="+mj-lt"/>
              </a:rPr>
              <a:t>de proteção solar</a:t>
            </a:r>
          </a:p>
        </c:rich>
      </c:tx>
      <c:layout/>
      <c:overlay val="0"/>
      <c:spPr>
        <a:noFill/>
        <a:ln w="2526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269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Folha1!$B$77:$B$82</c:f>
              <c:strCache>
                <c:ptCount val="6"/>
                <c:pt idx="0">
                  <c:v>Óculos</c:v>
                </c:pt>
                <c:pt idx="1">
                  <c:v>Camisola</c:v>
                </c:pt>
                <c:pt idx="2">
                  <c:v>Chapéu</c:v>
                </c:pt>
                <c:pt idx="3">
                  <c:v>Guarda-sol</c:v>
                </c:pt>
                <c:pt idx="4">
                  <c:v>Nenhum</c:v>
                </c:pt>
                <c:pt idx="5">
                  <c:v>Não respondeu</c:v>
                </c:pt>
              </c:strCache>
            </c:strRef>
          </c:cat>
          <c:val>
            <c:numRef>
              <c:f>Folha1!$C$77:$C$82</c:f>
              <c:numCache>
                <c:formatCode>General</c:formatCode>
                <c:ptCount val="6"/>
                <c:pt idx="0">
                  <c:v>115.0</c:v>
                </c:pt>
                <c:pt idx="1">
                  <c:v>159.0</c:v>
                </c:pt>
                <c:pt idx="2">
                  <c:v>174.0</c:v>
                </c:pt>
                <c:pt idx="3">
                  <c:v>174.0</c:v>
                </c:pt>
                <c:pt idx="4">
                  <c:v>3.0</c:v>
                </c:pt>
                <c:pt idx="5">
                  <c:v>4.0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3127624"/>
        <c:axId val="-2133218344"/>
      </c:barChart>
      <c:catAx>
        <c:axId val="-2133127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59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3218344"/>
        <c:crosses val="autoZero"/>
        <c:auto val="1"/>
        <c:lblAlgn val="ctr"/>
        <c:lblOffset val="100"/>
        <c:noMultiLvlLbl val="0"/>
      </c:catAx>
      <c:valAx>
        <c:axId val="-2133218344"/>
        <c:scaling>
          <c:orientation val="minMax"/>
        </c:scaling>
        <c:delete val="0"/>
        <c:axPos val="l"/>
        <c:majorGridlines>
          <c:spPr>
            <a:ln w="3159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3159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3127624"/>
        <c:crosses val="autoZero"/>
        <c:crossBetween val="between"/>
      </c:valAx>
      <c:spPr>
        <a:solidFill>
          <a:srgbClr val="FFFFFF"/>
        </a:solidFill>
        <a:ln w="25269">
          <a:noFill/>
        </a:ln>
      </c:spPr>
    </c:plotArea>
    <c:plotVisOnly val="1"/>
    <c:dispBlanksAs val="gap"/>
    <c:showDLblsOverMax val="0"/>
  </c:chart>
  <c:spPr>
    <a:solidFill>
      <a:srgbClr val="FFFFFF"/>
    </a:solidFill>
    <a:ln w="3159">
      <a:solidFill>
        <a:srgbClr val="808080"/>
      </a:solidFill>
      <a:prstDash val="solid"/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283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Folha1!$B$84:$B$87</c:f>
              <c:strCache>
                <c:ptCount val="4"/>
                <c:pt idx="0">
                  <c:v>Uma opção</c:v>
                </c:pt>
                <c:pt idx="1">
                  <c:v>Duas opções</c:v>
                </c:pt>
                <c:pt idx="2">
                  <c:v>Três opções</c:v>
                </c:pt>
                <c:pt idx="3">
                  <c:v>Quatro opções</c:v>
                </c:pt>
              </c:strCache>
            </c:strRef>
          </c:cat>
          <c:val>
            <c:numRef>
              <c:f>Folha1!$C$84:$C$87</c:f>
              <c:numCache>
                <c:formatCode>General</c:formatCode>
                <c:ptCount val="4"/>
                <c:pt idx="0">
                  <c:v>37.0</c:v>
                </c:pt>
                <c:pt idx="1">
                  <c:v>68.0</c:v>
                </c:pt>
                <c:pt idx="2">
                  <c:v>99.0</c:v>
                </c:pt>
                <c:pt idx="3">
                  <c:v>38.0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2125160"/>
        <c:axId val="-2132121800"/>
      </c:barChart>
      <c:catAx>
        <c:axId val="-2132125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6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2121800"/>
        <c:crosses val="autoZero"/>
        <c:auto val="1"/>
        <c:lblAlgn val="ctr"/>
        <c:lblOffset val="100"/>
        <c:noMultiLvlLbl val="0"/>
      </c:catAx>
      <c:valAx>
        <c:axId val="-2132121800"/>
        <c:scaling>
          <c:orientation val="minMax"/>
        </c:scaling>
        <c:delete val="0"/>
        <c:axPos val="b"/>
        <c:majorGridlines>
          <c:spPr>
            <a:ln w="3160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316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2125160"/>
        <c:crosses val="autoZero"/>
        <c:crossBetween val="between"/>
      </c:valAx>
      <c:spPr>
        <a:solidFill>
          <a:srgbClr val="FFFFFF"/>
        </a:solidFill>
        <a:ln w="25283">
          <a:noFill/>
        </a:ln>
      </c:spPr>
    </c:plotArea>
    <c:plotVisOnly val="1"/>
    <c:dispBlanksAs val="gap"/>
    <c:showDLblsOverMax val="0"/>
  </c:chart>
  <c:spPr>
    <a:solidFill>
      <a:srgbClr val="FFFFFF"/>
    </a:solidFill>
    <a:ln w="3160">
      <a:solidFill>
        <a:srgbClr val="808080"/>
      </a:solidFill>
      <a:prstDash val="solid"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PT" sz="1395">
                <a:latin typeface="+mj-lt"/>
              </a:rPr>
              <a:t>Uso de outros meios físicos de proteção solar</a:t>
            </a:r>
          </a:p>
        </c:rich>
      </c:tx>
      <c:layout>
        <c:manualLayout>
          <c:xMode val="edge"/>
          <c:yMode val="edge"/>
          <c:x val="0.109777868675506"/>
          <c:y val="0.0277776034967741"/>
        </c:manualLayout>
      </c:layout>
      <c:overlay val="0"/>
      <c:spPr>
        <a:noFill/>
        <a:ln w="2530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05627705627706"/>
          <c:y val="0.318725099601594"/>
          <c:w val="0.322510822510822"/>
          <c:h val="0.593625498007968"/>
        </c:manualLayout>
      </c:layout>
      <c:pieChart>
        <c:varyColors val="1"/>
        <c:ser>
          <c:idx val="0"/>
          <c:order val="0"/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303">
              <a:noFill/>
            </a:ln>
            <a:effectLst>
              <a:outerShdw dist="35921" dir="2700000" algn="br">
                <a:srgbClr val="000000"/>
              </a:outerShdw>
            </a:effectLst>
          </c:spPr>
          <c:dPt>
            <c:idx val="0"/>
            <c:bubble3D val="0"/>
          </c:dPt>
          <c:dPt>
            <c:idx val="1"/>
            <c:bubble3D val="0"/>
            <c:spPr>
              <a:gradFill rotWithShape="0">
                <a:gsLst>
                  <a:gs pos="0">
                    <a:srgbClr val="9B2D2A"/>
                  </a:gs>
                  <a:gs pos="80000">
                    <a:srgbClr val="CB3D3A"/>
                  </a:gs>
                  <a:gs pos="100000">
                    <a:srgbClr val="CE3B37"/>
                  </a:gs>
                </a:gsLst>
                <a:lin ang="16200000"/>
              </a:gradFill>
              <a:ln w="25303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2"/>
            <c:bubble3D val="0"/>
            <c:spPr>
              <a:gradFill rotWithShape="0">
                <a:gsLst>
                  <a:gs pos="0">
                    <a:srgbClr val="769535"/>
                  </a:gs>
                  <a:gs pos="80000">
                    <a:srgbClr val="9BC348"/>
                  </a:gs>
                  <a:gs pos="100000">
                    <a:srgbClr val="9CC746"/>
                  </a:gs>
                </a:gsLst>
                <a:lin ang="16200000"/>
              </a:gradFill>
              <a:ln w="25303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Lbls>
            <c:dLbl>
              <c:idx val="0"/>
              <c:layout>
                <c:manualLayout>
                  <c:x val="-0.146018810148731"/>
                  <c:y val="-0.11300269757946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41337489063867"/>
                  <c:y val="0.055304753572470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303">
                <a:noFill/>
              </a:ln>
            </c:spPr>
            <c:txPr>
              <a:bodyPr/>
              <a:lstStyle/>
              <a:p>
                <a:pPr>
                  <a:defRPr>
                    <a:latin typeface="+mj-lt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Folha1!$B$91:$B$93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Não respondeu</c:v>
                </c:pt>
              </c:strCache>
            </c:strRef>
          </c:cat>
          <c:val>
            <c:numRef>
              <c:f>Folha1!$C$91:$C$93</c:f>
              <c:numCache>
                <c:formatCode>General</c:formatCode>
                <c:ptCount val="3"/>
                <c:pt idx="0">
                  <c:v>164.0</c:v>
                </c:pt>
                <c:pt idx="1">
                  <c:v>72.0</c:v>
                </c:pt>
                <c:pt idx="2">
                  <c:v>12.0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03">
          <a:noFill/>
        </a:ln>
      </c:spPr>
    </c:plotArea>
    <c:legend>
      <c:legendPos val="r"/>
      <c:layout>
        <c:manualLayout>
          <c:xMode val="edge"/>
          <c:yMode val="edge"/>
          <c:x val="0.751396648044693"/>
          <c:y val="0.440414507772021"/>
          <c:w val="0.226256983240223"/>
          <c:h val="0.274611398963731"/>
        </c:manualLayout>
      </c:layout>
      <c:overlay val="0"/>
      <c:spPr>
        <a:noFill/>
        <a:ln w="25303">
          <a:noFill/>
        </a:ln>
      </c:spPr>
      <c:txPr>
        <a:bodyPr/>
        <a:lstStyle/>
        <a:p>
          <a:pPr>
            <a:defRPr>
              <a:latin typeface="+mj-lt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63">
      <a:solidFill>
        <a:srgbClr val="808080"/>
      </a:solidFill>
      <a:prstDash val="solid"/>
    </a:ln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>
                <a:latin typeface="+mj-lt"/>
              </a:defRPr>
            </a:pPr>
            <a:r>
              <a:rPr lang="pt-PT" sz="1398">
                <a:latin typeface="+mj-lt"/>
              </a:rPr>
              <a:t>Uso</a:t>
            </a:r>
            <a:r>
              <a:rPr lang="pt-PT" sz="1398" baseline="0">
                <a:latin typeface="+mj-lt"/>
              </a:rPr>
              <a:t> de protetor solar noutras estações do ano</a:t>
            </a:r>
            <a:endParaRPr lang="pt-PT" sz="1400">
              <a:latin typeface="+mj-lt"/>
            </a:endParaRPr>
          </a:p>
        </c:rich>
      </c:tx>
      <c:layout/>
      <c:overlay val="0"/>
      <c:spPr>
        <a:noFill/>
        <a:ln w="25367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367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Folha1!$B$113:$B$117</c:f>
              <c:strCache>
                <c:ptCount val="5"/>
                <c:pt idx="0">
                  <c:v>Primavera</c:v>
                </c:pt>
                <c:pt idx="1">
                  <c:v>Inverno</c:v>
                </c:pt>
                <c:pt idx="2">
                  <c:v>Sempre</c:v>
                </c:pt>
                <c:pt idx="3">
                  <c:v>Primavera e Outono</c:v>
                </c:pt>
                <c:pt idx="4">
                  <c:v>Primavera e Inverno</c:v>
                </c:pt>
              </c:strCache>
            </c:strRef>
          </c:cat>
          <c:val>
            <c:numRef>
              <c:f>Folha1!$C$113:$C$117</c:f>
              <c:numCache>
                <c:formatCode>General</c:formatCode>
                <c:ptCount val="5"/>
                <c:pt idx="0">
                  <c:v>33.0</c:v>
                </c:pt>
                <c:pt idx="1">
                  <c:v>2.0</c:v>
                </c:pt>
                <c:pt idx="2">
                  <c:v>28.0</c:v>
                </c:pt>
                <c:pt idx="3">
                  <c:v>6.0</c:v>
                </c:pt>
                <c:pt idx="4">
                  <c:v>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0868680"/>
        <c:axId val="-2130865320"/>
      </c:barChart>
      <c:catAx>
        <c:axId val="-2130868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1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0865320"/>
        <c:crosses val="autoZero"/>
        <c:auto val="1"/>
        <c:lblAlgn val="ctr"/>
        <c:lblOffset val="100"/>
        <c:noMultiLvlLbl val="0"/>
      </c:catAx>
      <c:valAx>
        <c:axId val="-2130865320"/>
        <c:scaling>
          <c:orientation val="minMax"/>
        </c:scaling>
        <c:delete val="0"/>
        <c:axPos val="l"/>
        <c:majorGridlines>
          <c:spPr>
            <a:ln w="3171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3171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0868680"/>
        <c:crosses val="autoZero"/>
        <c:crossBetween val="between"/>
      </c:valAx>
      <c:spPr>
        <a:solidFill>
          <a:srgbClr val="FFFFFF"/>
        </a:solidFill>
        <a:ln w="25367">
          <a:noFill/>
        </a:ln>
      </c:spPr>
    </c:plotArea>
    <c:plotVisOnly val="1"/>
    <c:dispBlanksAs val="gap"/>
    <c:showDLblsOverMax val="0"/>
  </c:chart>
  <c:spPr>
    <a:solidFill>
      <a:srgbClr val="FFFFFF"/>
    </a:solidFill>
    <a:ln w="3171">
      <a:solidFill>
        <a:srgbClr val="808080"/>
      </a:solidFill>
      <a:prstDash val="solid"/>
    </a:ln>
  </c:sp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>
                <a:latin typeface="+mj-lt"/>
              </a:defRPr>
            </a:pPr>
            <a:r>
              <a:rPr lang="pt-PT" sz="1398">
                <a:latin typeface="+mj-lt"/>
              </a:rPr>
              <a:t>Obteve maior informação sobre proteção solar</a:t>
            </a:r>
          </a:p>
        </c:rich>
      </c:tx>
      <c:layout/>
      <c:overlay val="0"/>
      <c:spPr>
        <a:noFill/>
        <a:ln w="25367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367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Folha1!$B$182:$B$186</c:f>
              <c:strCache>
                <c:ptCount val="5"/>
                <c:pt idx="0">
                  <c:v>Comunicação social</c:v>
                </c:pt>
                <c:pt idx="1">
                  <c:v>Familiares/Amigos</c:v>
                </c:pt>
                <c:pt idx="2">
                  <c:v>Médico de Família/Enfermeiro de Família</c:v>
                </c:pt>
                <c:pt idx="3">
                  <c:v>Pediatra</c:v>
                </c:pt>
                <c:pt idx="4">
                  <c:v>Outro</c:v>
                </c:pt>
              </c:strCache>
            </c:strRef>
          </c:cat>
          <c:val>
            <c:numRef>
              <c:f>Folha1!$C$182:$C$186</c:f>
              <c:numCache>
                <c:formatCode>General</c:formatCode>
                <c:ptCount val="5"/>
                <c:pt idx="0">
                  <c:v>167.0</c:v>
                </c:pt>
                <c:pt idx="1">
                  <c:v>50.0</c:v>
                </c:pt>
                <c:pt idx="2">
                  <c:v>97.0</c:v>
                </c:pt>
                <c:pt idx="3">
                  <c:v>53.0</c:v>
                </c:pt>
                <c:pt idx="4">
                  <c:v>15.0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1707128"/>
        <c:axId val="-2131710504"/>
      </c:barChart>
      <c:catAx>
        <c:axId val="-2131707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1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1710504"/>
        <c:crosses val="autoZero"/>
        <c:auto val="1"/>
        <c:lblAlgn val="ctr"/>
        <c:lblOffset val="100"/>
        <c:noMultiLvlLbl val="0"/>
      </c:catAx>
      <c:valAx>
        <c:axId val="-2131710504"/>
        <c:scaling>
          <c:orientation val="minMax"/>
        </c:scaling>
        <c:delete val="0"/>
        <c:axPos val="b"/>
        <c:majorGridlines>
          <c:spPr>
            <a:ln w="3171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3171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1707128"/>
        <c:crosses val="autoZero"/>
        <c:crossBetween val="between"/>
      </c:valAx>
      <c:spPr>
        <a:solidFill>
          <a:srgbClr val="FFFFFF"/>
        </a:solidFill>
        <a:ln w="25367">
          <a:noFill/>
        </a:ln>
      </c:spPr>
    </c:plotArea>
    <c:plotVisOnly val="1"/>
    <c:dispBlanksAs val="gap"/>
    <c:showDLblsOverMax val="0"/>
  </c:chart>
  <c:spPr>
    <a:solidFill>
      <a:srgbClr val="FFFFFF"/>
    </a:solidFill>
    <a:ln w="3171">
      <a:solidFill>
        <a:srgbClr val="808080"/>
      </a:solidFill>
      <a:prstDash val="solid"/>
    </a:ln>
  </c:sp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PT" sz="1392">
                <a:latin typeface="+mj-lt"/>
              </a:rPr>
              <a:t>Outro local</a:t>
            </a:r>
            <a:r>
              <a:rPr lang="pt-PT" sz="1392" baseline="0">
                <a:latin typeface="+mj-lt"/>
              </a:rPr>
              <a:t> onde obteve informação sobre proteção solar </a:t>
            </a:r>
            <a:endParaRPr lang="pt-PT" sz="1400">
              <a:latin typeface="+mj-lt"/>
            </a:endParaRPr>
          </a:p>
        </c:rich>
      </c:tx>
      <c:layout/>
      <c:overlay val="0"/>
      <c:spPr>
        <a:noFill/>
        <a:ln w="2526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690376569037657"/>
          <c:y val="0.273356401384083"/>
          <c:w val="0.880753138075314"/>
          <c:h val="0.529411764705882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261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Folha1!$B$197:$B$201</c:f>
              <c:strCache>
                <c:ptCount val="5"/>
                <c:pt idx="0">
                  <c:v>Fármacia</c:v>
                </c:pt>
                <c:pt idx="1">
                  <c:v>Conhecimento próprio</c:v>
                </c:pt>
                <c:pt idx="2">
                  <c:v>Literatura</c:v>
                </c:pt>
                <c:pt idx="3">
                  <c:v>Dermatologia</c:v>
                </c:pt>
                <c:pt idx="4">
                  <c:v>Escola</c:v>
                </c:pt>
              </c:strCache>
            </c:strRef>
          </c:cat>
          <c:val>
            <c:numRef>
              <c:f>Folha1!$C$197:$C$201</c:f>
              <c:numCache>
                <c:formatCode>General</c:formatCode>
                <c:ptCount val="5"/>
                <c:pt idx="0">
                  <c:v>5.0</c:v>
                </c:pt>
                <c:pt idx="1">
                  <c:v>4.0</c:v>
                </c:pt>
                <c:pt idx="2">
                  <c:v>2.0</c:v>
                </c:pt>
                <c:pt idx="3">
                  <c:v>2.0</c:v>
                </c:pt>
                <c:pt idx="4">
                  <c:v>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2132240664"/>
        <c:axId val="-2132176200"/>
      </c:barChart>
      <c:catAx>
        <c:axId val="-2132240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58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2176200"/>
        <c:crosses val="autoZero"/>
        <c:auto val="1"/>
        <c:lblAlgn val="ctr"/>
        <c:lblOffset val="100"/>
        <c:noMultiLvlLbl val="0"/>
      </c:catAx>
      <c:valAx>
        <c:axId val="-2132176200"/>
        <c:scaling>
          <c:orientation val="minMax"/>
        </c:scaling>
        <c:delete val="0"/>
        <c:axPos val="l"/>
        <c:majorGridlines>
          <c:spPr>
            <a:ln w="3158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9473">
            <a:noFill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2240664"/>
        <c:crosses val="autoZero"/>
        <c:crossBetween val="between"/>
      </c:valAx>
      <c:spPr>
        <a:solidFill>
          <a:srgbClr val="FFFFFF"/>
        </a:solidFill>
        <a:ln w="25261">
          <a:noFill/>
        </a:ln>
      </c:spPr>
    </c:plotArea>
    <c:plotVisOnly val="1"/>
    <c:dispBlanksAs val="gap"/>
    <c:showDLblsOverMax val="0"/>
  </c:chart>
  <c:spPr>
    <a:solidFill>
      <a:srgbClr val="FFFFFF"/>
    </a:solidFill>
    <a:ln w="3158">
      <a:solidFill>
        <a:srgbClr val="808080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>
                <a:latin typeface="+mj-lt"/>
              </a:defRPr>
            </a:pPr>
            <a:r>
              <a:rPr lang="en-US" sz="1397">
                <a:latin typeface="+mj-lt"/>
              </a:rPr>
              <a:t>Escolaridade</a:t>
            </a:r>
          </a:p>
        </c:rich>
      </c:tx>
      <c:layout/>
      <c:overlay val="0"/>
      <c:spPr>
        <a:noFill/>
        <a:ln w="2534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856531049250535"/>
          <c:y val="0.238683127572016"/>
          <c:w val="0.862955032119914"/>
          <c:h val="0.333333333333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Escolaridade</c:v>
                </c:pt>
              </c:strCache>
            </c:strRef>
          </c:tx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340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Sheet1!$A$2:$A$9</c:f>
              <c:strCache>
                <c:ptCount val="8"/>
                <c:pt idx="0">
                  <c:v>4º ano</c:v>
                </c:pt>
                <c:pt idx="1">
                  <c:v>6º ano</c:v>
                </c:pt>
                <c:pt idx="2">
                  <c:v>9º ano</c:v>
                </c:pt>
                <c:pt idx="3">
                  <c:v>12º ano</c:v>
                </c:pt>
                <c:pt idx="4">
                  <c:v>Bacharelato</c:v>
                </c:pt>
                <c:pt idx="5">
                  <c:v>Licenciatura</c:v>
                </c:pt>
                <c:pt idx="6">
                  <c:v>Mestrado</c:v>
                </c:pt>
                <c:pt idx="7">
                  <c:v>Não responderam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17.0</c:v>
                </c:pt>
                <c:pt idx="1">
                  <c:v>43.0</c:v>
                </c:pt>
                <c:pt idx="2">
                  <c:v>66.0</c:v>
                </c:pt>
                <c:pt idx="3">
                  <c:v>84.0</c:v>
                </c:pt>
                <c:pt idx="4">
                  <c:v>3.0</c:v>
                </c:pt>
                <c:pt idx="5">
                  <c:v>27.0</c:v>
                </c:pt>
                <c:pt idx="6">
                  <c:v>2.0</c:v>
                </c:pt>
                <c:pt idx="7">
                  <c:v>7.0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6887992"/>
        <c:axId val="2126884616"/>
      </c:barChart>
      <c:catAx>
        <c:axId val="2126887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7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2126884616"/>
        <c:crosses val="autoZero"/>
        <c:auto val="1"/>
        <c:lblAlgn val="ctr"/>
        <c:lblOffset val="100"/>
        <c:noMultiLvlLbl val="0"/>
      </c:catAx>
      <c:valAx>
        <c:axId val="2126884616"/>
        <c:scaling>
          <c:orientation val="minMax"/>
        </c:scaling>
        <c:delete val="0"/>
        <c:axPos val="l"/>
        <c:majorGridlines>
          <c:spPr>
            <a:ln w="3167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7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2126887992"/>
        <c:crosses val="autoZero"/>
        <c:crossBetween val="between"/>
      </c:valAx>
      <c:spPr>
        <a:solidFill>
          <a:srgbClr val="FFFFFF"/>
        </a:solidFill>
        <a:ln w="25340">
          <a:noFill/>
        </a:ln>
      </c:spPr>
    </c:plotArea>
    <c:plotVisOnly val="1"/>
    <c:dispBlanksAs val="gap"/>
    <c:showDLblsOverMax val="0"/>
  </c:chart>
  <c:spPr>
    <a:solidFill>
      <a:srgbClr val="FFFFFF"/>
    </a:solidFill>
    <a:ln w="3167">
      <a:solidFill>
        <a:srgbClr val="808080"/>
      </a:solidFill>
      <a:prstDash val="solid"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>
                <a:latin typeface="+mj-lt"/>
              </a:defRPr>
            </a:pPr>
            <a:r>
              <a:rPr lang="en-US" sz="1394">
                <a:latin typeface="+mj-lt"/>
              </a:rPr>
              <a:t>Profissão</a:t>
            </a:r>
          </a:p>
        </c:rich>
      </c:tx>
      <c:layout/>
      <c:overlay val="0"/>
      <c:spPr>
        <a:noFill/>
        <a:ln w="25286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Profissão</c:v>
                </c:pt>
              </c:strCache>
            </c:strRef>
          </c:tx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286">
              <a:noFill/>
            </a:ln>
            <a:effectLst>
              <a:outerShdw dist="35921" dir="2700000" algn="br">
                <a:srgbClr val="000000"/>
              </a:outerShdw>
            </a:effectLst>
          </c:spPr>
          <c:explosion val="25"/>
          <c:dPt>
            <c:idx val="0"/>
            <c:bubble3D val="0"/>
            <c:spPr>
              <a:gradFill rotWithShape="0">
                <a:gsLst>
                  <a:gs pos="0">
                    <a:srgbClr val="265186"/>
                  </a:gs>
                  <a:gs pos="80000">
                    <a:srgbClr val="346CB0"/>
                  </a:gs>
                  <a:gs pos="100000">
                    <a:srgbClr val="326DB3"/>
                  </a:gs>
                </a:gsLst>
                <a:lin ang="16200000"/>
              </a:gradFill>
              <a:ln w="25286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1"/>
            <c:bubble3D val="0"/>
            <c:spPr>
              <a:gradFill rotWithShape="0">
                <a:gsLst>
                  <a:gs pos="0">
                    <a:srgbClr val="882624"/>
                  </a:gs>
                  <a:gs pos="80000">
                    <a:srgbClr val="B33532"/>
                  </a:gs>
                  <a:gs pos="100000">
                    <a:srgbClr val="B73330"/>
                  </a:gs>
                </a:gsLst>
                <a:lin ang="16200000"/>
              </a:gradFill>
              <a:ln w="25286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2"/>
            <c:bubble3D val="0"/>
            <c:spPr>
              <a:gradFill rotWithShape="0">
                <a:gsLst>
                  <a:gs pos="0">
                    <a:srgbClr val="67832D"/>
                  </a:gs>
                  <a:gs pos="80000">
                    <a:srgbClr val="89AD3E"/>
                  </a:gs>
                  <a:gs pos="100000">
                    <a:srgbClr val="8AB03D"/>
                  </a:gs>
                </a:gsLst>
                <a:lin ang="16200000"/>
              </a:gradFill>
              <a:ln w="25286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3"/>
            <c:bubble3D val="0"/>
            <c:spPr>
              <a:gradFill rotWithShape="0">
                <a:gsLst>
                  <a:gs pos="0">
                    <a:srgbClr val="51396F"/>
                  </a:gs>
                  <a:gs pos="80000">
                    <a:srgbClr val="6C4D92"/>
                  </a:gs>
                  <a:gs pos="100000">
                    <a:srgbClr val="6D4C94"/>
                  </a:gs>
                </a:gsLst>
                <a:lin ang="16200000"/>
              </a:gradFill>
              <a:ln w="25286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4"/>
            <c:bubble3D val="0"/>
            <c:spPr>
              <a:gradFill rotWithShape="0">
                <a:gsLst>
                  <a:gs pos="0">
                    <a:srgbClr val="22768D"/>
                  </a:gs>
                  <a:gs pos="80000">
                    <a:srgbClr val="2F9CB9"/>
                  </a:gs>
                  <a:gs pos="100000">
                    <a:srgbClr val="2D9EBD"/>
                  </a:gs>
                </a:gsLst>
                <a:lin ang="16200000"/>
              </a:gradFill>
              <a:ln w="25286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5"/>
            <c:bubble3D val="0"/>
            <c:spPr>
              <a:gradFill rotWithShape="0">
                <a:gsLst>
                  <a:gs pos="0">
                    <a:srgbClr val="B45F19"/>
                  </a:gs>
                  <a:gs pos="80000">
                    <a:srgbClr val="EB7E24"/>
                  </a:gs>
                  <a:gs pos="100000">
                    <a:srgbClr val="F07E20"/>
                  </a:gs>
                </a:gsLst>
                <a:lin ang="16200000"/>
              </a:gradFill>
              <a:ln w="25286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Lbls>
            <c:spPr>
              <a:noFill/>
              <a:ln w="25286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Setor Primário</c:v>
                </c:pt>
                <c:pt idx="1">
                  <c:v>Setor Secundário</c:v>
                </c:pt>
                <c:pt idx="2">
                  <c:v>Setor Terciário</c:v>
                </c:pt>
                <c:pt idx="3">
                  <c:v>Desemprego</c:v>
                </c:pt>
                <c:pt idx="4">
                  <c:v>Reforma</c:v>
                </c:pt>
                <c:pt idx="5">
                  <c:v>Não respondeu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4.0</c:v>
                </c:pt>
                <c:pt idx="1">
                  <c:v>78.0</c:v>
                </c:pt>
                <c:pt idx="2">
                  <c:v>119.0</c:v>
                </c:pt>
                <c:pt idx="3">
                  <c:v>34.0</c:v>
                </c:pt>
                <c:pt idx="4">
                  <c:v>3.0</c:v>
                </c:pt>
                <c:pt idx="5">
                  <c:v>12.0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286">
          <a:noFill/>
        </a:ln>
      </c:spPr>
    </c:plotArea>
    <c:legend>
      <c:legendPos val="r"/>
      <c:layout>
        <c:manualLayout>
          <c:xMode val="edge"/>
          <c:yMode val="edge"/>
          <c:x val="0.70919881305638"/>
          <c:y val="0.293269230769231"/>
          <c:w val="0.264094955489614"/>
          <c:h val="0.504807692307692"/>
        </c:manualLayout>
      </c:layout>
      <c:overlay val="0"/>
      <c:spPr>
        <a:noFill/>
        <a:ln w="25286">
          <a:noFill/>
        </a:ln>
      </c:spPr>
      <c:txPr>
        <a:bodyPr/>
        <a:lstStyle/>
        <a:p>
          <a:pPr>
            <a:defRPr>
              <a:latin typeface="+mj-lt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61">
      <a:solidFill>
        <a:srgbClr val="808080"/>
      </a:solidFill>
      <a:prstDash val="solid"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>
                <a:latin typeface="+mj-lt"/>
              </a:defRPr>
            </a:pPr>
            <a:r>
              <a:rPr lang="en-US" sz="1391">
                <a:latin typeface="+mj-lt"/>
              </a:rPr>
              <a:t>Género</a:t>
            </a:r>
          </a:p>
        </c:rich>
      </c:tx>
      <c:layout/>
      <c:overlay val="0"/>
      <c:spPr>
        <a:noFill/>
        <a:ln w="25236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Género</c:v>
                </c:pt>
              </c:strCache>
            </c:strRef>
          </c:tx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236">
              <a:noFill/>
            </a:ln>
            <a:effectLst>
              <a:outerShdw dist="35921" dir="2700000" algn="br">
                <a:srgbClr val="000000"/>
              </a:outerShdw>
            </a:effectLst>
          </c:spPr>
          <c:explosion val="25"/>
          <c:dPt>
            <c:idx val="0"/>
            <c:bubble3D val="0"/>
            <c:spPr>
              <a:solidFill>
                <a:srgbClr val="D99694"/>
              </a:solidFill>
              <a:ln w="25236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1"/>
            <c:bubble3D val="0"/>
            <c:spPr>
              <a:solidFill>
                <a:srgbClr val="4F81BD"/>
              </a:solidFill>
              <a:ln w="25236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Lbls>
            <c:spPr>
              <a:noFill/>
              <a:ln w="25236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Sheet1!$A$2:$A$3</c:f>
              <c:strCache>
                <c:ptCount val="2"/>
                <c:pt idx="0">
                  <c:v>Feminino</c:v>
                </c:pt>
                <c:pt idx="1">
                  <c:v>Masculino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142.0</c:v>
                </c:pt>
                <c:pt idx="1">
                  <c:v>107.0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236">
          <a:noFill/>
        </a:ln>
      </c:spPr>
    </c:plotArea>
    <c:legend>
      <c:legendPos val="r"/>
      <c:layout>
        <c:manualLayout>
          <c:xMode val="edge"/>
          <c:yMode val="edge"/>
          <c:x val="0.773648648648649"/>
          <c:y val="0.456521739130435"/>
          <c:w val="0.202702702702703"/>
          <c:h val="0.190217391304348"/>
        </c:manualLayout>
      </c:layout>
      <c:overlay val="0"/>
      <c:spPr>
        <a:noFill/>
        <a:ln w="25236">
          <a:noFill/>
        </a:ln>
      </c:spPr>
      <c:txPr>
        <a:bodyPr/>
        <a:lstStyle/>
        <a:p>
          <a:pPr>
            <a:defRPr>
              <a:latin typeface="+mj-lt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55">
      <a:solidFill>
        <a:srgbClr val="808080"/>
      </a:solidFill>
      <a:prstDash val="solid"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>
                <a:latin typeface="+mj-lt"/>
              </a:defRPr>
            </a:pPr>
            <a:r>
              <a:rPr lang="en-US" sz="1398">
                <a:latin typeface="+mj-lt"/>
              </a:rPr>
              <a:t>Problemas de Pele</a:t>
            </a:r>
          </a:p>
        </c:rich>
      </c:tx>
      <c:layout/>
      <c:overlay val="0"/>
      <c:spPr>
        <a:noFill/>
        <a:ln w="25358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Problemas de Pele</c:v>
                </c:pt>
              </c:strCache>
            </c:strRef>
          </c:tx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358">
              <a:noFill/>
            </a:ln>
            <a:effectLst>
              <a:outerShdw dist="35921" dir="2700000" algn="br">
                <a:srgbClr val="000000"/>
              </a:outerShdw>
            </a:effectLst>
          </c:spPr>
          <c:dPt>
            <c:idx val="0"/>
            <c:bubble3D val="0"/>
            <c:spPr>
              <a:solidFill>
                <a:srgbClr val="C0504D"/>
              </a:solidFill>
              <a:ln w="25358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1"/>
            <c:bubble3D val="0"/>
            <c:spPr>
              <a:solidFill>
                <a:srgbClr val="9BBB59"/>
              </a:solidFill>
              <a:ln w="25358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Lbls>
            <c:spPr>
              <a:noFill/>
              <a:ln w="25358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33.0</c:v>
                </c:pt>
                <c:pt idx="1">
                  <c:v>216.0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8">
          <a:noFill/>
        </a:ln>
      </c:spPr>
    </c:plotArea>
    <c:legend>
      <c:legendPos val="r"/>
      <c:layout>
        <c:manualLayout>
          <c:xMode val="edge"/>
          <c:yMode val="edge"/>
          <c:x val="0.87987987987988"/>
          <c:y val="0.457142857142857"/>
          <c:w val="0.0990990990990991"/>
          <c:h val="0.166666666666667"/>
        </c:manualLayout>
      </c:layout>
      <c:overlay val="0"/>
      <c:spPr>
        <a:noFill/>
        <a:ln w="25358">
          <a:noFill/>
        </a:ln>
      </c:spPr>
      <c:txPr>
        <a:bodyPr/>
        <a:lstStyle/>
        <a:p>
          <a:pPr>
            <a:defRPr>
              <a:latin typeface="+mj-lt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70">
      <a:solidFill>
        <a:srgbClr val="808080"/>
      </a:solidFill>
      <a:prstDash val="solid"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+mj-lt"/>
              </a:defRPr>
            </a:pPr>
            <a:r>
              <a:rPr lang="en-US" sz="1402">
                <a:latin typeface="+mj-lt"/>
              </a:rPr>
              <a:t>Tipo de Pele</a:t>
            </a:r>
          </a:p>
        </c:rich>
      </c:tx>
      <c:layout/>
      <c:overlay val="0"/>
      <c:spPr>
        <a:noFill/>
        <a:ln w="2543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Tipo de Pele</c:v>
                </c:pt>
              </c:strCache>
            </c:strRef>
          </c:tx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431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Sheet1!$A$2:$A$5</c:f>
              <c:strCache>
                <c:ptCount val="4"/>
                <c:pt idx="0">
                  <c:v>Clara</c:v>
                </c:pt>
                <c:pt idx="1">
                  <c:v>Morena clara</c:v>
                </c:pt>
                <c:pt idx="2">
                  <c:v>Morena escura</c:v>
                </c:pt>
                <c:pt idx="3">
                  <c:v>Negra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102.0</c:v>
                </c:pt>
                <c:pt idx="1">
                  <c:v>123.0</c:v>
                </c:pt>
                <c:pt idx="2">
                  <c:v>24.0</c:v>
                </c:pt>
                <c:pt idx="3">
                  <c:v>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4988440"/>
        <c:axId val="-2134985032"/>
      </c:barChart>
      <c:catAx>
        <c:axId val="-213498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4985032"/>
        <c:crosses val="autoZero"/>
        <c:auto val="1"/>
        <c:lblAlgn val="ctr"/>
        <c:lblOffset val="100"/>
        <c:noMultiLvlLbl val="0"/>
      </c:catAx>
      <c:valAx>
        <c:axId val="-2134985032"/>
        <c:scaling>
          <c:orientation val="minMax"/>
        </c:scaling>
        <c:delete val="0"/>
        <c:axPos val="l"/>
        <c:majorGridlines>
          <c:spPr>
            <a:ln w="3179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9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4988440"/>
        <c:crosses val="autoZero"/>
        <c:crossBetween val="between"/>
      </c:valAx>
      <c:spPr>
        <a:solidFill>
          <a:srgbClr val="FFFFFF"/>
        </a:solidFill>
        <a:ln w="25431">
          <a:noFill/>
        </a:ln>
      </c:spPr>
    </c:plotArea>
    <c:plotVisOnly val="1"/>
    <c:dispBlanksAs val="gap"/>
    <c:showDLblsOverMax val="0"/>
  </c:chart>
  <c:spPr>
    <a:solidFill>
      <a:srgbClr val="FFFFFF"/>
    </a:solidFill>
    <a:ln w="3179">
      <a:solidFill>
        <a:srgbClr val="808080"/>
      </a:solidFill>
      <a:prstDash val="solid"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>
                <a:latin typeface="+mj-lt"/>
              </a:defRPr>
            </a:pPr>
            <a:r>
              <a:rPr lang="en-US" sz="1394">
                <a:latin typeface="+mj-lt"/>
              </a:rPr>
              <a:t>Presença de Sardas</a:t>
            </a:r>
          </a:p>
        </c:rich>
      </c:tx>
      <c:layout/>
      <c:overlay val="0"/>
      <c:spPr>
        <a:noFill/>
        <a:ln w="25297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Presença de Sardas</c:v>
                </c:pt>
              </c:strCache>
            </c:strRef>
          </c:tx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297">
              <a:noFill/>
            </a:ln>
            <a:effectLst>
              <a:outerShdw dist="35921" dir="2700000" algn="br">
                <a:srgbClr val="000000"/>
              </a:outerShdw>
            </a:effectLst>
          </c:spPr>
          <c:dPt>
            <c:idx val="0"/>
            <c:bubble3D val="0"/>
          </c:dPt>
          <c:dPt>
            <c:idx val="1"/>
            <c:bubble3D val="0"/>
            <c:spPr>
              <a:gradFill rotWithShape="0">
                <a:gsLst>
                  <a:gs pos="0">
                    <a:srgbClr val="9B2D2A"/>
                  </a:gs>
                  <a:gs pos="80000">
                    <a:srgbClr val="CB3D3A"/>
                  </a:gs>
                  <a:gs pos="100000">
                    <a:srgbClr val="CE3B37"/>
                  </a:gs>
                </a:gsLst>
                <a:lin ang="16200000"/>
              </a:gradFill>
              <a:ln w="25297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Pt>
            <c:idx val="2"/>
            <c:bubble3D val="0"/>
            <c:spPr>
              <a:gradFill rotWithShape="0">
                <a:gsLst>
                  <a:gs pos="0">
                    <a:srgbClr val="769535"/>
                  </a:gs>
                  <a:gs pos="80000">
                    <a:srgbClr val="9BC348"/>
                  </a:gs>
                  <a:gs pos="100000">
                    <a:srgbClr val="9CC746"/>
                  </a:gs>
                </a:gsLst>
                <a:lin ang="16200000"/>
              </a:gradFill>
              <a:ln w="25297">
                <a:noFill/>
              </a:ln>
              <a:effectLst>
                <a:outerShdw dist="35921" dir="2700000" algn="br">
                  <a:srgbClr val="000000"/>
                </a:outerShdw>
              </a:effectLst>
            </c:spPr>
          </c:dPt>
          <c:dLbls>
            <c:spPr>
              <a:noFill/>
              <a:ln w="25297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Não respondeu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40.0</c:v>
                </c:pt>
                <c:pt idx="1">
                  <c:v>208.0</c:v>
                </c:pt>
                <c:pt idx="2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297">
          <a:noFill/>
        </a:ln>
      </c:spPr>
    </c:plotArea>
    <c:legend>
      <c:legendPos val="r"/>
      <c:layout>
        <c:manualLayout>
          <c:xMode val="edge"/>
          <c:yMode val="edge"/>
          <c:x val="0.732203389830508"/>
          <c:y val="0.397590361445783"/>
          <c:w val="0.267796610169491"/>
          <c:h val="0.325301204819277"/>
        </c:manualLayout>
      </c:layout>
      <c:overlay val="0"/>
      <c:spPr>
        <a:noFill/>
        <a:ln w="25297">
          <a:noFill/>
        </a:ln>
      </c:spPr>
    </c:legend>
    <c:plotVisOnly val="1"/>
    <c:dispBlanksAs val="zero"/>
    <c:showDLblsOverMax val="0"/>
  </c:chart>
  <c:spPr>
    <a:solidFill>
      <a:srgbClr val="FFFFFF"/>
    </a:solidFill>
    <a:ln w="3162">
      <a:solidFill>
        <a:srgbClr val="808080"/>
      </a:solidFill>
      <a:prstDash val="solid"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+mj-lt"/>
              </a:defRPr>
            </a:pPr>
            <a:r>
              <a:rPr lang="en-US" sz="1397">
                <a:latin typeface="+mj-lt"/>
              </a:rPr>
              <a:t>Horário de Exposição Solar</a:t>
            </a:r>
          </a:p>
        </c:rich>
      </c:tx>
      <c:layout/>
      <c:overlay val="0"/>
      <c:spPr>
        <a:noFill/>
        <a:ln w="2534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Horário de Exposição Solar</c:v>
                </c:pt>
              </c:strCache>
            </c:strRef>
          </c:tx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341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Até às 11h da manhã</c:v>
                </c:pt>
                <c:pt idx="1">
                  <c:v>Das 11h até às 16h</c:v>
                </c:pt>
                <c:pt idx="2">
                  <c:v>Após as 16h</c:v>
                </c:pt>
                <c:pt idx="3">
                  <c:v>Nenhuma exposição</c:v>
                </c:pt>
                <c:pt idx="4">
                  <c:v>Não respondeu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75.0</c:v>
                </c:pt>
                <c:pt idx="1">
                  <c:v>64.0</c:v>
                </c:pt>
                <c:pt idx="2">
                  <c:v>130.0</c:v>
                </c:pt>
                <c:pt idx="3">
                  <c:v>11.0</c:v>
                </c:pt>
                <c:pt idx="4">
                  <c:v>29.0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4934248"/>
        <c:axId val="-2135564584"/>
      </c:barChart>
      <c:catAx>
        <c:axId val="-2134934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8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5564584"/>
        <c:crosses val="autoZero"/>
        <c:auto val="1"/>
        <c:lblAlgn val="ctr"/>
        <c:lblOffset val="100"/>
        <c:noMultiLvlLbl val="0"/>
      </c:catAx>
      <c:valAx>
        <c:axId val="-2135564584"/>
        <c:scaling>
          <c:orientation val="minMax"/>
        </c:scaling>
        <c:delete val="0"/>
        <c:axPos val="l"/>
        <c:majorGridlines>
          <c:spPr>
            <a:ln w="3168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8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4934248"/>
        <c:crosses val="autoZero"/>
        <c:crossBetween val="between"/>
      </c:valAx>
      <c:spPr>
        <a:solidFill>
          <a:srgbClr val="FFFFFF"/>
        </a:solidFill>
        <a:ln w="25341">
          <a:noFill/>
        </a:ln>
      </c:spPr>
    </c:plotArea>
    <c:plotVisOnly val="1"/>
    <c:dispBlanksAs val="gap"/>
    <c:showDLblsOverMax val="0"/>
  </c:chart>
  <c:spPr>
    <a:solidFill>
      <a:srgbClr val="FFFFFF"/>
    </a:solidFill>
    <a:ln w="3168">
      <a:solidFill>
        <a:srgbClr val="808080"/>
      </a:solidFill>
      <a:prstDash val="solid"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+mj-lt"/>
              </a:defRPr>
            </a:pPr>
            <a:r>
              <a:rPr lang="en-US" sz="1397">
                <a:latin typeface="+mj-lt"/>
              </a:rPr>
              <a:t>Horário de Exposição Solar</a:t>
            </a:r>
          </a:p>
        </c:rich>
      </c:tx>
      <c:layout/>
      <c:overlay val="0"/>
      <c:spPr>
        <a:noFill/>
        <a:ln w="2534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Horário de Exposição Solar</c:v>
                </c:pt>
              </c:strCache>
            </c:strRef>
          </c:tx>
          <c:spPr>
            <a:gradFill rotWithShape="0">
              <a:gsLst>
                <a:gs pos="0">
                  <a:srgbClr val="2C5D98"/>
                </a:gs>
                <a:gs pos="80000">
                  <a:srgbClr val="3C7BC7"/>
                </a:gs>
                <a:gs pos="100000">
                  <a:srgbClr val="3A7CCB"/>
                </a:gs>
              </a:gsLst>
              <a:lin ang="16200000"/>
            </a:gradFill>
            <a:ln w="25341">
              <a:noFill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Até às 11h da manhã</c:v>
                </c:pt>
                <c:pt idx="1">
                  <c:v>Das 11h até às 16h</c:v>
                </c:pt>
                <c:pt idx="2">
                  <c:v>Após as 16h</c:v>
                </c:pt>
                <c:pt idx="3">
                  <c:v>Nenhuma exposição</c:v>
                </c:pt>
                <c:pt idx="4">
                  <c:v>Não respondeu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89.0</c:v>
                </c:pt>
                <c:pt idx="1">
                  <c:v>32.0</c:v>
                </c:pt>
                <c:pt idx="2">
                  <c:v>111.0</c:v>
                </c:pt>
                <c:pt idx="3">
                  <c:v>12.0</c:v>
                </c:pt>
                <c:pt idx="4">
                  <c:v>36.0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3359496"/>
        <c:axId val="-2133356136"/>
      </c:barChart>
      <c:catAx>
        <c:axId val="-2133359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8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3356136"/>
        <c:crosses val="autoZero"/>
        <c:auto val="1"/>
        <c:lblAlgn val="ctr"/>
        <c:lblOffset val="100"/>
        <c:noMultiLvlLbl val="0"/>
      </c:catAx>
      <c:valAx>
        <c:axId val="-2133356136"/>
        <c:scaling>
          <c:orientation val="minMax"/>
        </c:scaling>
        <c:delete val="0"/>
        <c:axPos val="l"/>
        <c:majorGridlines>
          <c:spPr>
            <a:ln w="3168">
              <a:solidFill>
                <a:srgbClr val="80808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8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>
                <a:latin typeface="+mj-lt"/>
              </a:defRPr>
            </a:pPr>
            <a:endParaRPr lang="en-US"/>
          </a:p>
        </c:txPr>
        <c:crossAx val="-2133359496"/>
        <c:crosses val="autoZero"/>
        <c:crossBetween val="between"/>
      </c:valAx>
      <c:spPr>
        <a:solidFill>
          <a:srgbClr val="FFFFFF"/>
        </a:solidFill>
        <a:ln w="25341">
          <a:noFill/>
        </a:ln>
      </c:spPr>
    </c:plotArea>
    <c:plotVisOnly val="1"/>
    <c:dispBlanksAs val="gap"/>
    <c:showDLblsOverMax val="0"/>
  </c:chart>
  <c:spPr>
    <a:solidFill>
      <a:srgbClr val="FFFFFF"/>
    </a:solidFill>
    <a:ln w="3168">
      <a:solidFill>
        <a:srgbClr val="808080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398</Words>
  <Characters>2269</Characters>
  <Application>Microsoft Macintosh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Ribeiro</dc:creator>
  <cp:keywords/>
  <dc:description/>
  <cp:lastModifiedBy>Carla Ribeiro</cp:lastModifiedBy>
  <cp:revision>1</cp:revision>
  <dcterms:created xsi:type="dcterms:W3CDTF">2016-06-14T15:03:00Z</dcterms:created>
  <dcterms:modified xsi:type="dcterms:W3CDTF">2016-06-14T15:08:00Z</dcterms:modified>
</cp:coreProperties>
</file>