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18" w:rsidRPr="00F277A8" w:rsidRDefault="00E82E18" w:rsidP="006F60B0">
      <w:pPr>
        <w:spacing w:line="360" w:lineRule="auto"/>
        <w:jc w:val="center"/>
      </w:pP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7D4F4A" w:rsidRDefault="00E82E18" w:rsidP="006F60B0">
      <w:pPr>
        <w:spacing w:line="360" w:lineRule="auto"/>
        <w:jc w:val="center"/>
        <w:rPr>
          <w:b/>
          <w:i/>
          <w:sz w:val="32"/>
          <w:szCs w:val="32"/>
        </w:rPr>
      </w:pPr>
      <w:proofErr w:type="gramStart"/>
      <w:r w:rsidRPr="00886D02">
        <w:rPr>
          <w:b/>
          <w:i/>
          <w:sz w:val="32"/>
          <w:szCs w:val="32"/>
        </w:rPr>
        <w:t>O</w:t>
      </w:r>
      <w:r w:rsidR="007D4F4A" w:rsidRPr="00886D02">
        <w:rPr>
          <w:b/>
          <w:i/>
          <w:sz w:val="32"/>
          <w:szCs w:val="32"/>
        </w:rPr>
        <w:t>(s</w:t>
      </w:r>
      <w:proofErr w:type="gramEnd"/>
      <w:r w:rsidR="007D4F4A" w:rsidRPr="00886D02">
        <w:rPr>
          <w:b/>
          <w:i/>
          <w:sz w:val="32"/>
          <w:szCs w:val="32"/>
        </w:rPr>
        <w:t>) Juiz(</w:t>
      </w:r>
      <w:proofErr w:type="spellStart"/>
      <w:r w:rsidR="007D4F4A" w:rsidRPr="00886D02">
        <w:rPr>
          <w:b/>
          <w:i/>
          <w:sz w:val="32"/>
          <w:szCs w:val="32"/>
        </w:rPr>
        <w:t>es</w:t>
      </w:r>
      <w:proofErr w:type="spellEnd"/>
      <w:r w:rsidR="007D4F4A" w:rsidRPr="00886D02">
        <w:rPr>
          <w:b/>
          <w:i/>
          <w:sz w:val="32"/>
          <w:szCs w:val="32"/>
        </w:rPr>
        <w:t>)</w:t>
      </w:r>
      <w:r w:rsidRPr="00886D02">
        <w:rPr>
          <w:b/>
          <w:i/>
          <w:sz w:val="32"/>
          <w:szCs w:val="32"/>
        </w:rPr>
        <w:t xml:space="preserve"> legiferante</w:t>
      </w:r>
      <w:r w:rsidR="007D4F4A" w:rsidRPr="00886D02">
        <w:rPr>
          <w:b/>
          <w:i/>
          <w:sz w:val="32"/>
          <w:szCs w:val="32"/>
        </w:rPr>
        <w:t>(s)!? – Os bancos (credo</w:t>
      </w:r>
      <w:r w:rsidR="006F60B0" w:rsidRPr="00886D02">
        <w:rPr>
          <w:b/>
          <w:i/>
          <w:sz w:val="32"/>
          <w:szCs w:val="32"/>
        </w:rPr>
        <w:t>res hipotecários) que se cuidem!</w:t>
      </w:r>
      <w:r w:rsidR="00886D02">
        <w:rPr>
          <w:rStyle w:val="FootnoteReference"/>
          <w:b/>
          <w:i/>
          <w:sz w:val="32"/>
          <w:szCs w:val="32"/>
        </w:rPr>
        <w:footnoteReference w:id="1"/>
      </w: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39404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394042" w:rsidRPr="00886D02" w:rsidRDefault="00394042" w:rsidP="006F60B0">
      <w:pPr>
        <w:spacing w:line="360" w:lineRule="auto"/>
        <w:jc w:val="center"/>
        <w:rPr>
          <w:b/>
          <w:i/>
          <w:sz w:val="32"/>
          <w:szCs w:val="32"/>
        </w:rPr>
      </w:pPr>
    </w:p>
    <w:p w:rsidR="00E82E18" w:rsidRPr="00F277A8" w:rsidRDefault="00E82E18" w:rsidP="00886D02">
      <w:pPr>
        <w:pStyle w:val="NoSpacing"/>
        <w:spacing w:line="360" w:lineRule="auto"/>
        <w:rPr>
          <w:b/>
        </w:rPr>
      </w:pPr>
    </w:p>
    <w:p w:rsidR="00394042" w:rsidRDefault="00394042">
      <w:pPr>
        <w:rPr>
          <w:b/>
          <w:sz w:val="22"/>
        </w:rPr>
      </w:pPr>
      <w:r>
        <w:rPr>
          <w:b/>
          <w:sz w:val="22"/>
        </w:rPr>
        <w:br w:type="page"/>
      </w:r>
    </w:p>
    <w:p w:rsidR="00886D02" w:rsidRDefault="00886D02" w:rsidP="00886D02">
      <w:pPr>
        <w:pStyle w:val="NoSpacing"/>
        <w:jc w:val="right"/>
        <w:rPr>
          <w:b/>
          <w:sz w:val="22"/>
        </w:rPr>
      </w:pPr>
    </w:p>
    <w:p w:rsidR="00886D02" w:rsidRDefault="00886D02" w:rsidP="00886D02">
      <w:pPr>
        <w:pStyle w:val="NoSpacing"/>
        <w:jc w:val="right"/>
        <w:rPr>
          <w:b/>
          <w:sz w:val="22"/>
        </w:rPr>
      </w:pPr>
    </w:p>
    <w:p w:rsidR="00886D02" w:rsidRDefault="00886D02" w:rsidP="00886D02">
      <w:pPr>
        <w:pStyle w:val="NoSpacing"/>
        <w:jc w:val="right"/>
        <w:rPr>
          <w:b/>
          <w:sz w:val="22"/>
        </w:rPr>
      </w:pPr>
    </w:p>
    <w:p w:rsidR="00886D02" w:rsidRDefault="00886D02" w:rsidP="00886D02">
      <w:pPr>
        <w:pStyle w:val="NoSpacing"/>
        <w:jc w:val="right"/>
        <w:rPr>
          <w:b/>
          <w:sz w:val="22"/>
        </w:rPr>
      </w:pPr>
    </w:p>
    <w:p w:rsidR="00886D02" w:rsidRDefault="00886D02" w:rsidP="00886D02">
      <w:pPr>
        <w:pStyle w:val="NoSpacing"/>
        <w:jc w:val="right"/>
        <w:rPr>
          <w:b/>
          <w:sz w:val="22"/>
        </w:rPr>
      </w:pPr>
    </w:p>
    <w:p w:rsidR="00886D02" w:rsidRDefault="00886D02" w:rsidP="00886D02">
      <w:pPr>
        <w:pStyle w:val="NoSpacing"/>
        <w:jc w:val="right"/>
        <w:rPr>
          <w:b/>
          <w:sz w:val="22"/>
        </w:rPr>
      </w:pPr>
    </w:p>
    <w:p w:rsidR="00886D02" w:rsidRPr="00886D02" w:rsidRDefault="00886D02" w:rsidP="00886D02">
      <w:pPr>
        <w:pStyle w:val="NoSpacing"/>
        <w:jc w:val="right"/>
        <w:rPr>
          <w:b/>
          <w:color w:val="000000"/>
          <w:sz w:val="20"/>
        </w:rPr>
      </w:pPr>
    </w:p>
    <w:p w:rsidR="00886D02" w:rsidRPr="00413A1C" w:rsidRDefault="00886D02" w:rsidP="00886D02">
      <w:pPr>
        <w:spacing w:line="360" w:lineRule="auto"/>
        <w:rPr>
          <w:b/>
          <w:sz w:val="22"/>
        </w:rPr>
      </w:pPr>
    </w:p>
    <w:p w:rsidR="00DD58B1" w:rsidRPr="00D0678C" w:rsidRDefault="00E82E18" w:rsidP="00D0678C">
      <w:pPr>
        <w:spacing w:line="360" w:lineRule="auto"/>
        <w:jc w:val="both"/>
      </w:pPr>
      <w:r w:rsidRPr="00D0678C">
        <w:rPr>
          <w:b/>
        </w:rPr>
        <w:t>R</w:t>
      </w:r>
      <w:r w:rsidR="00393091" w:rsidRPr="00D0678C">
        <w:rPr>
          <w:b/>
        </w:rPr>
        <w:t>esumo:</w:t>
      </w:r>
      <w:r w:rsidR="00E76F47" w:rsidRPr="00D0678C">
        <w:rPr>
          <w:b/>
        </w:rPr>
        <w:t xml:space="preserve"> </w:t>
      </w:r>
      <w:r w:rsidR="00E76F47" w:rsidRPr="00D0678C">
        <w:t xml:space="preserve">A comunidade </w:t>
      </w:r>
      <w:r w:rsidR="00F41BDE" w:rsidRPr="00D0678C">
        <w:t>jurídica</w:t>
      </w:r>
      <w:r w:rsidR="00F41BDE" w:rsidRPr="00D0678C">
        <w:rPr>
          <w:b/>
        </w:rPr>
        <w:t xml:space="preserve"> </w:t>
      </w:r>
      <w:r w:rsidR="00E76F47" w:rsidRPr="00D0678C">
        <w:t xml:space="preserve">foi apanhada de surpresa </w:t>
      </w:r>
      <w:r w:rsidR="00F41BDE" w:rsidRPr="00D0678C">
        <w:t xml:space="preserve">quando, contrariando a </w:t>
      </w:r>
      <w:r w:rsidR="000A6083" w:rsidRPr="00D0678C">
        <w:t xml:space="preserve">habitual </w:t>
      </w:r>
      <w:r w:rsidR="00F41BDE" w:rsidRPr="00D0678C">
        <w:t xml:space="preserve">tendência </w:t>
      </w:r>
      <w:r w:rsidR="005E04FA" w:rsidRPr="00D0678C">
        <w:t>jurisprudencial</w:t>
      </w:r>
      <w:r w:rsidR="00F41BDE" w:rsidRPr="00D0678C">
        <w:t>, o Tribunal Judicial de Portalegre, num processo de inventário em consequência de um divórcio, decidiu que a adjudicação do imóvel habitacional ao credor hipotecário (Banco) extinguia, por se entender liquidada a divida com a entrega do imóvel, o remane</w:t>
      </w:r>
      <w:r w:rsidR="0022609E" w:rsidRPr="00D0678C">
        <w:t>scente da dí</w:t>
      </w:r>
      <w:r w:rsidR="00F41BDE" w:rsidRPr="00D0678C">
        <w:t xml:space="preserve">vida decorrente do contrato de </w:t>
      </w:r>
      <w:r w:rsidR="0022609E" w:rsidRPr="00D0678C">
        <w:t>crédito que</w:t>
      </w:r>
      <w:r w:rsidR="000A6083" w:rsidRPr="00D0678C">
        <w:t xml:space="preserve"> financiou a aquisição d</w:t>
      </w:r>
      <w:r w:rsidR="0022609E" w:rsidRPr="00D0678C">
        <w:t>a</w:t>
      </w:r>
      <w:r w:rsidR="000A6083" w:rsidRPr="00D0678C">
        <w:t xml:space="preserve"> </w:t>
      </w:r>
      <w:r w:rsidR="0022609E" w:rsidRPr="00D0678C">
        <w:t>habitação</w:t>
      </w:r>
      <w:r w:rsidR="00F41BDE" w:rsidRPr="00D0678C">
        <w:t xml:space="preserve">.  </w:t>
      </w:r>
    </w:p>
    <w:p w:rsidR="00393091" w:rsidRPr="00D0678C" w:rsidRDefault="00F41BDE" w:rsidP="00D0678C">
      <w:pPr>
        <w:spacing w:line="360" w:lineRule="auto"/>
        <w:jc w:val="both"/>
      </w:pPr>
      <w:r w:rsidRPr="00D0678C">
        <w:rPr>
          <w:b/>
        </w:rPr>
        <w:t xml:space="preserve">Palavras-chave: </w:t>
      </w:r>
      <w:r w:rsidRPr="00D0678C">
        <w:t>Crise Mundial / Contrato de Mútuo / Garantias / Execução / Sentença de Portalegre</w:t>
      </w:r>
    </w:p>
    <w:p w:rsidR="004F3390" w:rsidRPr="00D0678C" w:rsidRDefault="004F3390" w:rsidP="00D0678C">
      <w:pPr>
        <w:spacing w:line="360" w:lineRule="auto"/>
        <w:jc w:val="both"/>
        <w:rPr>
          <w:b/>
        </w:rPr>
      </w:pPr>
      <w:r w:rsidRPr="00D0678C">
        <w:rPr>
          <w:i/>
        </w:rPr>
        <w:t>O juiz não é nomeado para fazer favores com a justiça, mas para julgar segundo as leis</w:t>
      </w:r>
      <w:r w:rsidRPr="00D0678C">
        <w:t xml:space="preserve"> </w:t>
      </w:r>
      <w:r w:rsidRPr="00D0678C">
        <w:rPr>
          <w:b/>
        </w:rPr>
        <w:t>(Platão)</w:t>
      </w:r>
    </w:p>
    <w:p w:rsidR="00393091" w:rsidRPr="00D0678C" w:rsidRDefault="00393091" w:rsidP="00D0678C">
      <w:pPr>
        <w:spacing w:line="360" w:lineRule="auto"/>
        <w:jc w:val="both"/>
        <w:rPr>
          <w:b/>
          <w:lang w:val="en-US"/>
        </w:rPr>
      </w:pPr>
      <w:proofErr w:type="spellStart"/>
      <w:r w:rsidRPr="00D0678C">
        <w:rPr>
          <w:b/>
          <w:lang w:val="en-US"/>
        </w:rPr>
        <w:t>Abstrat</w:t>
      </w:r>
      <w:proofErr w:type="spellEnd"/>
      <w:r w:rsidRPr="00D0678C">
        <w:rPr>
          <w:b/>
          <w:lang w:val="en-US"/>
        </w:rPr>
        <w:t>:</w:t>
      </w:r>
      <w:r w:rsidR="004F3390" w:rsidRPr="00D0678C">
        <w:rPr>
          <w:b/>
          <w:lang w:val="en-US"/>
        </w:rPr>
        <w:t xml:space="preserve"> </w:t>
      </w:r>
      <w:r w:rsidR="004F3390" w:rsidRPr="00D0678C">
        <w:rPr>
          <w:rStyle w:val="hps"/>
          <w:color w:val="222222"/>
          <w:lang w:val="en"/>
        </w:rPr>
        <w:t>The legal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community was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taken by surprise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when</w:t>
      </w:r>
      <w:r w:rsidR="004F3390" w:rsidRPr="00D0678C">
        <w:rPr>
          <w:color w:val="222222"/>
          <w:lang w:val="en"/>
        </w:rPr>
        <w:t xml:space="preserve">, contrary to the </w:t>
      </w:r>
      <w:r w:rsidR="004F3390" w:rsidRPr="00D0678C">
        <w:rPr>
          <w:rStyle w:val="hps"/>
          <w:color w:val="222222"/>
          <w:lang w:val="en"/>
        </w:rPr>
        <w:t>usual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trend</w:t>
      </w:r>
      <w:r w:rsidR="004F3390" w:rsidRPr="00D0678C">
        <w:rPr>
          <w:color w:val="222222"/>
          <w:lang w:val="en"/>
        </w:rPr>
        <w:t xml:space="preserve"> of </w:t>
      </w:r>
      <w:r w:rsidR="004F3390" w:rsidRPr="00D0678C">
        <w:rPr>
          <w:rStyle w:val="hps"/>
          <w:color w:val="222222"/>
          <w:lang w:val="en"/>
        </w:rPr>
        <w:t>jurisprudence</w:t>
      </w:r>
      <w:r w:rsidR="004F3390" w:rsidRPr="00D0678C">
        <w:rPr>
          <w:color w:val="222222"/>
          <w:lang w:val="en"/>
        </w:rPr>
        <w:t xml:space="preserve">, the </w:t>
      </w:r>
      <w:r w:rsidR="004F3390" w:rsidRPr="00D0678C">
        <w:rPr>
          <w:rStyle w:val="hps"/>
          <w:color w:val="222222"/>
          <w:lang w:val="en"/>
        </w:rPr>
        <w:t>Judicial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Court of</w:t>
      </w:r>
      <w:r w:rsidR="004F3390" w:rsidRPr="00D0678C">
        <w:rPr>
          <w:color w:val="222222"/>
          <w:lang w:val="en"/>
        </w:rPr>
        <w:t xml:space="preserve"> </w:t>
      </w:r>
      <w:proofErr w:type="spellStart"/>
      <w:r w:rsidR="004F3390" w:rsidRPr="00D0678C">
        <w:rPr>
          <w:rStyle w:val="hps"/>
          <w:color w:val="222222"/>
          <w:lang w:val="en"/>
        </w:rPr>
        <w:t>Portalegre</w:t>
      </w:r>
      <w:proofErr w:type="spellEnd"/>
      <w:r w:rsidR="004F3390" w:rsidRPr="00D0678C">
        <w:rPr>
          <w:color w:val="222222"/>
          <w:lang w:val="en"/>
        </w:rPr>
        <w:t xml:space="preserve">, </w:t>
      </w:r>
      <w:r w:rsidR="004F3390" w:rsidRPr="00D0678C">
        <w:rPr>
          <w:rStyle w:val="hps"/>
          <w:color w:val="222222"/>
          <w:lang w:val="en"/>
        </w:rPr>
        <w:t>in</w:t>
      </w:r>
      <w:r w:rsidR="004F3390" w:rsidRPr="00D0678C">
        <w:rPr>
          <w:color w:val="222222"/>
          <w:lang w:val="en"/>
        </w:rPr>
        <w:t xml:space="preserve"> an </w:t>
      </w:r>
      <w:r w:rsidR="004F3390" w:rsidRPr="00D0678C">
        <w:rPr>
          <w:rStyle w:val="hps"/>
          <w:color w:val="222222"/>
          <w:lang w:val="en"/>
        </w:rPr>
        <w:t>inventory process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as a result of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a divorce,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decided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that the adjudication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of the housing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property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to the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mortgagee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(</w:t>
      </w:r>
      <w:r w:rsidR="004F3390" w:rsidRPr="00D0678C">
        <w:rPr>
          <w:color w:val="222222"/>
          <w:lang w:val="en"/>
        </w:rPr>
        <w:t xml:space="preserve">Bank) </w:t>
      </w:r>
      <w:r w:rsidR="004F3390" w:rsidRPr="00D0678C">
        <w:rPr>
          <w:rStyle w:val="hps"/>
          <w:color w:val="222222"/>
          <w:lang w:val="en"/>
        </w:rPr>
        <w:t>extinguished</w:t>
      </w:r>
      <w:r w:rsidR="004F3390" w:rsidRPr="00D0678C">
        <w:rPr>
          <w:color w:val="222222"/>
          <w:lang w:val="en"/>
        </w:rPr>
        <w:t xml:space="preserve">, </w:t>
      </w:r>
      <w:r w:rsidR="004F3390" w:rsidRPr="00D0678C">
        <w:rPr>
          <w:rStyle w:val="hps"/>
          <w:color w:val="222222"/>
          <w:lang w:val="en"/>
        </w:rPr>
        <w:t>because it is understood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settled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the debt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with the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property is handed over</w:t>
      </w:r>
      <w:r w:rsidR="004F3390" w:rsidRPr="00D0678C">
        <w:rPr>
          <w:color w:val="222222"/>
          <w:lang w:val="en"/>
        </w:rPr>
        <w:t xml:space="preserve">, the remaining </w:t>
      </w:r>
      <w:r w:rsidR="004F3390" w:rsidRPr="00D0678C">
        <w:rPr>
          <w:rStyle w:val="hps"/>
          <w:color w:val="222222"/>
          <w:lang w:val="en"/>
        </w:rPr>
        <w:t>debt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due to the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loan agreement</w:t>
      </w:r>
      <w:r w:rsidR="000A6083" w:rsidRPr="00D0678C">
        <w:rPr>
          <w:color w:val="222222"/>
          <w:lang w:val="en"/>
        </w:rPr>
        <w:t xml:space="preserve"> </w:t>
      </w:r>
      <w:r w:rsidR="000A6083" w:rsidRPr="00D0678C">
        <w:rPr>
          <w:rStyle w:val="hps"/>
          <w:color w:val="222222"/>
          <w:lang w:val="en"/>
        </w:rPr>
        <w:t>that</w:t>
      </w:r>
      <w:r w:rsidR="000A6083" w:rsidRPr="00D0678C">
        <w:rPr>
          <w:rStyle w:val="shorttext"/>
          <w:color w:val="222222"/>
          <w:lang w:val="en"/>
        </w:rPr>
        <w:t xml:space="preserve"> </w:t>
      </w:r>
      <w:r w:rsidR="000A6083" w:rsidRPr="00D0678C">
        <w:rPr>
          <w:rStyle w:val="hps"/>
          <w:color w:val="222222"/>
          <w:lang w:val="en"/>
        </w:rPr>
        <w:t>financed the</w:t>
      </w:r>
      <w:r w:rsidR="000A6083" w:rsidRPr="00D0678C">
        <w:rPr>
          <w:rStyle w:val="shorttext"/>
          <w:color w:val="222222"/>
          <w:lang w:val="en"/>
        </w:rPr>
        <w:t xml:space="preserve"> </w:t>
      </w:r>
      <w:r w:rsidR="000A6083" w:rsidRPr="00D0678C">
        <w:rPr>
          <w:rStyle w:val="hps"/>
          <w:color w:val="222222"/>
          <w:lang w:val="en"/>
        </w:rPr>
        <w:t>acquisition of the house</w:t>
      </w:r>
    </w:p>
    <w:p w:rsidR="00393091" w:rsidRPr="00D0678C" w:rsidRDefault="00393091" w:rsidP="00D0678C">
      <w:pPr>
        <w:spacing w:line="360" w:lineRule="auto"/>
        <w:jc w:val="both"/>
        <w:rPr>
          <w:rStyle w:val="hps"/>
          <w:color w:val="222222"/>
          <w:lang w:val="en"/>
        </w:rPr>
      </w:pPr>
      <w:r w:rsidRPr="00D0678C">
        <w:rPr>
          <w:b/>
          <w:lang w:val="en-US"/>
        </w:rPr>
        <w:t>Keywords:</w:t>
      </w:r>
      <w:r w:rsidR="004F3390" w:rsidRPr="00D0678C">
        <w:rPr>
          <w:b/>
          <w:lang w:val="en-US"/>
        </w:rPr>
        <w:t xml:space="preserve"> </w:t>
      </w:r>
      <w:r w:rsidR="004F3390" w:rsidRPr="00D0678C">
        <w:rPr>
          <w:rStyle w:val="hps"/>
          <w:color w:val="222222"/>
          <w:lang w:val="en"/>
        </w:rPr>
        <w:t>Global Crisis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/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Loan Contract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/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Guarantees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/</w:t>
      </w:r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Execution /</w:t>
      </w:r>
      <w:r w:rsidR="004F3390" w:rsidRPr="00D0678C">
        <w:rPr>
          <w:color w:val="222222"/>
          <w:lang w:val="en"/>
        </w:rPr>
        <w:t xml:space="preserve"> </w:t>
      </w:r>
      <w:proofErr w:type="spellStart"/>
      <w:r w:rsidR="004F3390" w:rsidRPr="00D0678C">
        <w:rPr>
          <w:rStyle w:val="hps"/>
          <w:color w:val="222222"/>
          <w:lang w:val="en"/>
        </w:rPr>
        <w:t>Portalegre</w:t>
      </w:r>
      <w:proofErr w:type="spellEnd"/>
      <w:r w:rsidR="004F3390" w:rsidRPr="00D0678C">
        <w:rPr>
          <w:color w:val="222222"/>
          <w:lang w:val="en"/>
        </w:rPr>
        <w:t xml:space="preserve"> </w:t>
      </w:r>
      <w:r w:rsidR="004F3390" w:rsidRPr="00D0678C">
        <w:rPr>
          <w:rStyle w:val="hps"/>
          <w:color w:val="222222"/>
          <w:lang w:val="en"/>
        </w:rPr>
        <w:t>Sentence</w:t>
      </w:r>
    </w:p>
    <w:p w:rsidR="004F3390" w:rsidRPr="00D0678C" w:rsidRDefault="004F3390" w:rsidP="00D0678C">
      <w:pPr>
        <w:spacing w:line="360" w:lineRule="auto"/>
        <w:jc w:val="both"/>
        <w:rPr>
          <w:b/>
          <w:color w:val="222222"/>
          <w:lang w:val="en"/>
        </w:rPr>
      </w:pPr>
      <w:r w:rsidRPr="00D0678C">
        <w:rPr>
          <w:rStyle w:val="hps"/>
          <w:i/>
          <w:color w:val="222222"/>
          <w:lang w:val="en"/>
        </w:rPr>
        <w:t>The judge</w:t>
      </w:r>
      <w:r w:rsidRPr="00D0678C">
        <w:rPr>
          <w:i/>
          <w:color w:val="222222"/>
          <w:lang w:val="en"/>
        </w:rPr>
        <w:t xml:space="preserve"> </w:t>
      </w:r>
      <w:r w:rsidRPr="00D0678C">
        <w:rPr>
          <w:rStyle w:val="hps"/>
          <w:i/>
          <w:color w:val="222222"/>
          <w:lang w:val="en"/>
        </w:rPr>
        <w:t>is not</w:t>
      </w:r>
      <w:r w:rsidRPr="00D0678C">
        <w:rPr>
          <w:i/>
          <w:color w:val="222222"/>
          <w:lang w:val="en"/>
        </w:rPr>
        <w:t xml:space="preserve"> </w:t>
      </w:r>
      <w:r w:rsidRPr="00D0678C">
        <w:rPr>
          <w:rStyle w:val="hps"/>
          <w:i/>
          <w:color w:val="222222"/>
          <w:lang w:val="en"/>
        </w:rPr>
        <w:t>appointed to</w:t>
      </w:r>
      <w:r w:rsidRPr="00D0678C">
        <w:rPr>
          <w:i/>
          <w:color w:val="222222"/>
          <w:lang w:val="en"/>
        </w:rPr>
        <w:t xml:space="preserve"> </w:t>
      </w:r>
      <w:r w:rsidRPr="00D0678C">
        <w:rPr>
          <w:rStyle w:val="hps"/>
          <w:i/>
          <w:color w:val="222222"/>
          <w:lang w:val="en"/>
        </w:rPr>
        <w:t>do favors</w:t>
      </w:r>
      <w:r w:rsidRPr="00D0678C">
        <w:rPr>
          <w:i/>
          <w:color w:val="222222"/>
          <w:lang w:val="en"/>
        </w:rPr>
        <w:t xml:space="preserve"> </w:t>
      </w:r>
      <w:r w:rsidRPr="00D0678C">
        <w:rPr>
          <w:rStyle w:val="hps"/>
          <w:i/>
          <w:color w:val="222222"/>
          <w:lang w:val="en"/>
        </w:rPr>
        <w:t>for justice</w:t>
      </w:r>
      <w:r w:rsidRPr="00D0678C">
        <w:rPr>
          <w:i/>
          <w:color w:val="222222"/>
          <w:lang w:val="en"/>
        </w:rPr>
        <w:t xml:space="preserve">, </w:t>
      </w:r>
      <w:r w:rsidRPr="00D0678C">
        <w:rPr>
          <w:rStyle w:val="hps"/>
          <w:i/>
          <w:color w:val="222222"/>
          <w:lang w:val="en"/>
        </w:rPr>
        <w:t>but</w:t>
      </w:r>
      <w:r w:rsidRPr="00D0678C">
        <w:rPr>
          <w:i/>
          <w:color w:val="222222"/>
          <w:lang w:val="en"/>
        </w:rPr>
        <w:t xml:space="preserve"> </w:t>
      </w:r>
      <w:r w:rsidR="00166873" w:rsidRPr="00D0678C">
        <w:rPr>
          <w:rStyle w:val="hps"/>
          <w:i/>
          <w:color w:val="222222"/>
          <w:lang w:val="en"/>
        </w:rPr>
        <w:t>to judge according to the law</w:t>
      </w:r>
      <w:r w:rsidRPr="00D0678C">
        <w:rPr>
          <w:color w:val="222222"/>
          <w:lang w:val="en"/>
        </w:rPr>
        <w:t xml:space="preserve"> </w:t>
      </w:r>
      <w:r w:rsidRPr="00D0678C">
        <w:rPr>
          <w:rStyle w:val="hps"/>
          <w:b/>
          <w:color w:val="222222"/>
          <w:lang w:val="en"/>
        </w:rPr>
        <w:t>(</w:t>
      </w:r>
      <w:proofErr w:type="spellStart"/>
      <w:r w:rsidRPr="00D0678C">
        <w:rPr>
          <w:b/>
          <w:color w:val="222222"/>
          <w:lang w:val="en"/>
        </w:rPr>
        <w:t>Platão</w:t>
      </w:r>
      <w:proofErr w:type="spellEnd"/>
      <w:r w:rsidRPr="00D0678C">
        <w:rPr>
          <w:b/>
          <w:color w:val="222222"/>
          <w:lang w:val="en"/>
        </w:rPr>
        <w:t>)</w:t>
      </w:r>
    </w:p>
    <w:p w:rsidR="000A6083" w:rsidRPr="00D0678C" w:rsidRDefault="000A6083" w:rsidP="00D0678C">
      <w:pPr>
        <w:spacing w:line="360" w:lineRule="auto"/>
        <w:jc w:val="both"/>
        <w:rPr>
          <w:b/>
          <w:color w:val="222222"/>
          <w:lang w:val="en"/>
        </w:rPr>
      </w:pPr>
    </w:p>
    <w:p w:rsidR="00AD6DB8" w:rsidRPr="00D0678C" w:rsidRDefault="00393091" w:rsidP="00D0678C">
      <w:pPr>
        <w:spacing w:line="360" w:lineRule="auto"/>
        <w:jc w:val="both"/>
      </w:pPr>
      <w:r w:rsidRPr="00D0678C">
        <w:rPr>
          <w:b/>
        </w:rPr>
        <w:t>Sumário:</w:t>
      </w:r>
      <w:r w:rsidR="00F277A8" w:rsidRPr="00D0678C">
        <w:rPr>
          <w:b/>
        </w:rPr>
        <w:t xml:space="preserve"> </w:t>
      </w:r>
      <w:r w:rsidR="00AA21CA" w:rsidRPr="00D0678C">
        <w:rPr>
          <w:b/>
        </w:rPr>
        <w:t xml:space="preserve">I. </w:t>
      </w:r>
      <w:r w:rsidR="00F277A8" w:rsidRPr="00D0678C">
        <w:rPr>
          <w:b/>
        </w:rPr>
        <w:t xml:space="preserve">1. </w:t>
      </w:r>
      <w:r w:rsidR="00F277A8" w:rsidRPr="00D0678C">
        <w:t>Crise mundial: origens e derivações.</w:t>
      </w:r>
      <w:r w:rsidR="00F277A8" w:rsidRPr="00D0678C">
        <w:rPr>
          <w:b/>
        </w:rPr>
        <w:t xml:space="preserve"> </w:t>
      </w:r>
      <w:r w:rsidR="00880E1C" w:rsidRPr="00D0678C">
        <w:rPr>
          <w:b/>
        </w:rPr>
        <w:t xml:space="preserve">2. </w:t>
      </w:r>
      <w:r w:rsidR="00880E1C" w:rsidRPr="00D0678C">
        <w:t>Contrato de Mútuo.</w:t>
      </w:r>
      <w:r w:rsidR="00880E1C" w:rsidRPr="00D0678C">
        <w:rPr>
          <w:b/>
        </w:rPr>
        <w:t xml:space="preserve"> 2.1. </w:t>
      </w:r>
      <w:r w:rsidR="00880E1C" w:rsidRPr="00D0678C">
        <w:t>Mútuo Civil.</w:t>
      </w:r>
      <w:r w:rsidR="00880E1C" w:rsidRPr="00D0678C">
        <w:rPr>
          <w:b/>
        </w:rPr>
        <w:t xml:space="preserve"> 2.2. </w:t>
      </w:r>
      <w:r w:rsidR="00880E1C" w:rsidRPr="00D0678C">
        <w:t>Mútuo Mercantil.</w:t>
      </w:r>
      <w:r w:rsidR="00880E1C" w:rsidRPr="00D0678C">
        <w:rPr>
          <w:b/>
        </w:rPr>
        <w:t xml:space="preserve"> 2.3. </w:t>
      </w:r>
      <w:r w:rsidR="00880E1C" w:rsidRPr="00D0678C">
        <w:t>Mútuo Bancário.</w:t>
      </w:r>
      <w:r w:rsidR="00880E1C" w:rsidRPr="00D0678C">
        <w:rPr>
          <w:b/>
        </w:rPr>
        <w:t xml:space="preserve"> </w:t>
      </w:r>
      <w:r w:rsidR="00AA21CA" w:rsidRPr="00D0678C">
        <w:rPr>
          <w:b/>
        </w:rPr>
        <w:t xml:space="preserve">3. </w:t>
      </w:r>
      <w:r w:rsidR="00AA21CA" w:rsidRPr="00D0678C">
        <w:t>Garantias: noção funcional.</w:t>
      </w:r>
      <w:r w:rsidR="00AA21CA" w:rsidRPr="00D0678C">
        <w:rPr>
          <w:b/>
        </w:rPr>
        <w:t xml:space="preserve"> 3.1. </w:t>
      </w:r>
      <w:r w:rsidR="00AA21CA" w:rsidRPr="00D0678C">
        <w:t>Garantias Especiais.</w:t>
      </w:r>
      <w:r w:rsidR="00AA21CA" w:rsidRPr="00D0678C">
        <w:rPr>
          <w:b/>
        </w:rPr>
        <w:t xml:space="preserve"> 3.1.2. </w:t>
      </w:r>
      <w:r w:rsidR="00AA21CA" w:rsidRPr="00D0678C">
        <w:t>Hipoteca.</w:t>
      </w:r>
      <w:r w:rsidR="00AA21CA" w:rsidRPr="00D0678C">
        <w:rPr>
          <w:b/>
        </w:rPr>
        <w:t xml:space="preserve"> 3.1.2.1.</w:t>
      </w:r>
      <w:r w:rsidR="00AA21CA" w:rsidRPr="00D0678C">
        <w:t xml:space="preserve"> Proibição do pacto comissório.</w:t>
      </w:r>
      <w:r w:rsidR="00AA21CA" w:rsidRPr="00D0678C">
        <w:rPr>
          <w:b/>
        </w:rPr>
        <w:t xml:space="preserve"> 3.1.2.2. </w:t>
      </w:r>
      <w:r w:rsidR="00AA21CA" w:rsidRPr="00D0678C">
        <w:t>Extinção da hipoteca.</w:t>
      </w:r>
      <w:r w:rsidR="00AA21CA" w:rsidRPr="00D0678C">
        <w:rPr>
          <w:b/>
        </w:rPr>
        <w:t xml:space="preserve"> 3.1.2.3. </w:t>
      </w:r>
      <w:r w:rsidR="00AA21CA" w:rsidRPr="00D0678C">
        <w:t>Execução da hipoteca.</w:t>
      </w:r>
      <w:r w:rsidR="00AA21CA" w:rsidRPr="00D0678C">
        <w:rPr>
          <w:b/>
        </w:rPr>
        <w:t xml:space="preserve"> </w:t>
      </w:r>
      <w:r w:rsidR="00946A02" w:rsidRPr="00D0678C">
        <w:rPr>
          <w:b/>
        </w:rPr>
        <w:t xml:space="preserve">II. 1. </w:t>
      </w:r>
      <w:r w:rsidR="00946A02" w:rsidRPr="00D0678C">
        <w:t xml:space="preserve">Sentença de Portalegre: a surpresa geral. </w:t>
      </w:r>
      <w:r w:rsidR="00F93F3F" w:rsidRPr="00D0678C">
        <w:rPr>
          <w:b/>
        </w:rPr>
        <w:t xml:space="preserve">2. </w:t>
      </w:r>
      <w:r w:rsidR="00F93F3F" w:rsidRPr="00D0678C">
        <w:t xml:space="preserve">Jurisprudência espanhola. </w:t>
      </w:r>
      <w:r w:rsidR="005C7FA3" w:rsidRPr="00D0678C">
        <w:rPr>
          <w:b/>
        </w:rPr>
        <w:t xml:space="preserve">3. </w:t>
      </w:r>
      <w:r w:rsidR="005C7FA3" w:rsidRPr="00D0678C">
        <w:t>Jurisprudência Portug</w:t>
      </w:r>
      <w:r w:rsidR="0043508B">
        <w:t xml:space="preserve">uesa: a decisão de </w:t>
      </w:r>
      <w:r w:rsidR="0043508B">
        <w:lastRenderedPageBreak/>
        <w:t>Portalegre –</w:t>
      </w:r>
      <w:r w:rsidR="005C7FA3" w:rsidRPr="00D0678C">
        <w:rPr>
          <w:i/>
        </w:rPr>
        <w:t xml:space="preserve"> </w:t>
      </w:r>
      <w:proofErr w:type="spellStart"/>
      <w:r w:rsidR="005C7FA3" w:rsidRPr="00D0678C">
        <w:rPr>
          <w:i/>
        </w:rPr>
        <w:t>study</w:t>
      </w:r>
      <w:proofErr w:type="spellEnd"/>
      <w:r w:rsidR="0043508B">
        <w:rPr>
          <w:i/>
        </w:rPr>
        <w:t xml:space="preserve"> case</w:t>
      </w:r>
      <w:r w:rsidR="005C7FA3" w:rsidRPr="00D0678C">
        <w:rPr>
          <w:i/>
        </w:rPr>
        <w:t>.</w:t>
      </w:r>
      <w:r w:rsidR="005C7FA3" w:rsidRPr="00D0678C">
        <w:t xml:space="preserve"> </w:t>
      </w:r>
      <w:r w:rsidR="00AD6DB8" w:rsidRPr="00D0678C">
        <w:rPr>
          <w:b/>
        </w:rPr>
        <w:t xml:space="preserve">4. </w:t>
      </w:r>
      <w:r w:rsidR="00AD6DB8" w:rsidRPr="00D0678C">
        <w:t>Limitação da responsabilidade do mutuário em virtude do escopo do contrato</w:t>
      </w:r>
      <w:r w:rsidR="00154710" w:rsidRPr="00D0678C">
        <w:t xml:space="preserve">. </w:t>
      </w:r>
      <w:r w:rsidR="00154710" w:rsidRPr="00D0678C">
        <w:rPr>
          <w:b/>
        </w:rPr>
        <w:t>5.</w:t>
      </w:r>
      <w:r w:rsidR="00154710" w:rsidRPr="00D0678C">
        <w:t xml:space="preserve"> </w:t>
      </w:r>
      <w:r w:rsidR="00154710" w:rsidRPr="00D0678C">
        <w:rPr>
          <w:b/>
        </w:rPr>
        <w:t xml:space="preserve">Reflexões </w:t>
      </w:r>
      <w:proofErr w:type="gramStart"/>
      <w:r w:rsidR="00154710" w:rsidRPr="00D0678C">
        <w:rPr>
          <w:b/>
        </w:rPr>
        <w:t>finais</w:t>
      </w:r>
      <w:proofErr w:type="gramEnd"/>
      <w:r w:rsidR="00154710" w:rsidRPr="00D0678C">
        <w:t>.</w:t>
      </w:r>
    </w:p>
    <w:p w:rsidR="00886D02" w:rsidRDefault="0051426A" w:rsidP="00D0678C">
      <w:pPr>
        <w:spacing w:line="360" w:lineRule="auto"/>
        <w:jc w:val="both"/>
      </w:pPr>
      <w:r w:rsidRPr="00D0678C">
        <w:rPr>
          <w:b/>
        </w:rPr>
        <w:t xml:space="preserve">Abreviaturas: </w:t>
      </w:r>
      <w:r w:rsidRPr="00D0678C">
        <w:t>no final.</w:t>
      </w:r>
    </w:p>
    <w:p w:rsidR="00886D02" w:rsidRDefault="00886D02">
      <w:r>
        <w:br w:type="page"/>
      </w:r>
    </w:p>
    <w:p w:rsidR="009E0998" w:rsidRDefault="009E0998" w:rsidP="00D0678C">
      <w:pPr>
        <w:spacing w:line="360" w:lineRule="auto"/>
        <w:jc w:val="both"/>
      </w:pPr>
    </w:p>
    <w:p w:rsidR="00BD3443" w:rsidRPr="00D0678C" w:rsidRDefault="00BD3443" w:rsidP="00D0678C">
      <w:pPr>
        <w:spacing w:line="360" w:lineRule="auto"/>
        <w:jc w:val="both"/>
        <w:rPr>
          <w:b/>
        </w:rPr>
      </w:pPr>
    </w:p>
    <w:p w:rsidR="003510AE" w:rsidRPr="00D0678C" w:rsidRDefault="009E0998" w:rsidP="00D0678C">
      <w:pPr>
        <w:spacing w:line="360" w:lineRule="auto"/>
        <w:jc w:val="both"/>
        <w:rPr>
          <w:b/>
        </w:rPr>
      </w:pPr>
      <w:r w:rsidRPr="00D0678C">
        <w:rPr>
          <w:b/>
        </w:rPr>
        <w:tab/>
      </w:r>
      <w:r w:rsidR="00393091" w:rsidRPr="00D0678C">
        <w:rPr>
          <w:b/>
        </w:rPr>
        <w:t xml:space="preserve">1. Crise mundial: origens e </w:t>
      </w:r>
      <w:r w:rsidR="003510AE" w:rsidRPr="00D0678C">
        <w:rPr>
          <w:b/>
        </w:rPr>
        <w:t>derivações</w:t>
      </w:r>
    </w:p>
    <w:p w:rsidR="00D64E0D" w:rsidRPr="00D0678C" w:rsidRDefault="003510AE" w:rsidP="00D0678C">
      <w:pPr>
        <w:spacing w:line="360" w:lineRule="auto"/>
        <w:jc w:val="both"/>
      </w:pPr>
      <w:r w:rsidRPr="00D0678C">
        <w:tab/>
        <w:t xml:space="preserve">A </w:t>
      </w:r>
      <w:proofErr w:type="spellStart"/>
      <w:r w:rsidRPr="00D0678C">
        <w:t>actual</w:t>
      </w:r>
      <w:proofErr w:type="spellEnd"/>
      <w:r w:rsidRPr="00D0678C">
        <w:t xml:space="preserve"> crise </w:t>
      </w:r>
      <w:r w:rsidR="00E82E18" w:rsidRPr="00D0678C">
        <w:t>mundial – “a maior crise de que há suficientemente memória viva”</w:t>
      </w:r>
      <w:r w:rsidR="00E82E18" w:rsidRPr="00D0678C">
        <w:rPr>
          <w:rStyle w:val="FootnoteReference"/>
        </w:rPr>
        <w:footnoteReference w:id="2"/>
      </w:r>
      <w:r w:rsidR="00E82E18" w:rsidRPr="00D0678C">
        <w:t xml:space="preserve"> – </w:t>
      </w:r>
      <w:proofErr w:type="gramStart"/>
      <w:r w:rsidR="007D4F4A" w:rsidRPr="00D0678C">
        <w:t>é</w:t>
      </w:r>
      <w:proofErr w:type="gramEnd"/>
      <w:r w:rsidR="007D4F4A" w:rsidRPr="00D0678C">
        <w:t xml:space="preserve"> o resultado de muitos excessos </w:t>
      </w:r>
      <w:r w:rsidR="00895592" w:rsidRPr="00D0678C">
        <w:t>cometidos no passado não muito longínquo.</w:t>
      </w:r>
      <w:r w:rsidR="00D64E0D" w:rsidRPr="00D0678C">
        <w:t xml:space="preserve"> Ainda que os nossos intentos problemáticos não sejam as causas e origem da </w:t>
      </w:r>
      <w:proofErr w:type="spellStart"/>
      <w:r w:rsidR="00D64E0D" w:rsidRPr="00D0678C">
        <w:t>actual</w:t>
      </w:r>
      <w:proofErr w:type="spellEnd"/>
      <w:r w:rsidR="00D64E0D" w:rsidRPr="00D0678C">
        <w:t xml:space="preserve"> crise financeira, é certo que podemos e devemos fazer um enquadramento sinóptico acerca da mesma.</w:t>
      </w:r>
    </w:p>
    <w:p w:rsidR="00C675CE" w:rsidRPr="00D0678C" w:rsidRDefault="00502FF4" w:rsidP="00D0678C">
      <w:pPr>
        <w:spacing w:line="360" w:lineRule="auto"/>
        <w:jc w:val="both"/>
      </w:pPr>
      <w:r w:rsidRPr="00D0678C">
        <w:tab/>
      </w:r>
      <w:r w:rsidR="002D0C96" w:rsidRPr="00D0678C">
        <w:t>Publicita</w:t>
      </w:r>
      <w:r w:rsidR="004A76CA" w:rsidRPr="00D0678C">
        <w:t xml:space="preserve"> </w:t>
      </w:r>
      <w:r w:rsidR="00713368" w:rsidRPr="00D0678C">
        <w:rPr>
          <w:smallCaps/>
        </w:rPr>
        <w:t>George Soros</w:t>
      </w:r>
      <w:r w:rsidR="004A76CA" w:rsidRPr="00D0678C">
        <w:rPr>
          <w:rStyle w:val="FootnoteReference"/>
        </w:rPr>
        <w:footnoteReference w:id="3"/>
      </w:r>
      <w:r w:rsidR="002D0C96" w:rsidRPr="00D0678C">
        <w:t>: a</w:t>
      </w:r>
      <w:r w:rsidRPr="00D0678C">
        <w:t xml:space="preserve"> estação televisiva </w:t>
      </w:r>
      <w:r w:rsidRPr="00D0678C">
        <w:rPr>
          <w:i/>
        </w:rPr>
        <w:t xml:space="preserve">BBC </w:t>
      </w:r>
      <w:proofErr w:type="spellStart"/>
      <w:r w:rsidRPr="00D0678C">
        <w:rPr>
          <w:i/>
        </w:rPr>
        <w:t>News</w:t>
      </w:r>
      <w:proofErr w:type="spellEnd"/>
      <w:proofErr w:type="gramStart"/>
      <w:r w:rsidRPr="00D0678C">
        <w:t>,</w:t>
      </w:r>
      <w:proofErr w:type="gramEnd"/>
      <w:r w:rsidRPr="00D0678C">
        <w:t xml:space="preserve"> corria o </w:t>
      </w:r>
      <w:r w:rsidR="00AD096F" w:rsidRPr="00D0678C">
        <w:t>mês de Agosto de 2007, noticiava</w:t>
      </w:r>
      <w:r w:rsidR="00AD096F" w:rsidRPr="00D0678C">
        <w:rPr>
          <w:rStyle w:val="FootnoteReference"/>
        </w:rPr>
        <w:footnoteReference w:id="4"/>
      </w:r>
      <w:r w:rsidR="00AD096F" w:rsidRPr="00D0678C">
        <w:t xml:space="preserve"> que os bancos centrais tiveram a necessidade de intervir nos de molde a </w:t>
      </w:r>
      <w:proofErr w:type="spellStart"/>
      <w:r w:rsidR="00AD096F" w:rsidRPr="00D0678C">
        <w:t>injectar</w:t>
      </w:r>
      <w:proofErr w:type="spellEnd"/>
      <w:r w:rsidR="00AD096F" w:rsidRPr="00D0678C">
        <w:t xml:space="preserve"> liquidez </w:t>
      </w:r>
      <w:r w:rsidR="004A76CA" w:rsidRPr="00D0678C">
        <w:t>massiva</w:t>
      </w:r>
      <w:r w:rsidR="0023364B" w:rsidRPr="00D0678C">
        <w:rPr>
          <w:rStyle w:val="FootnoteReference"/>
        </w:rPr>
        <w:footnoteReference w:id="5"/>
      </w:r>
      <w:r w:rsidR="004A76CA" w:rsidRPr="00D0678C">
        <w:t xml:space="preserve"> </w:t>
      </w:r>
      <w:r w:rsidR="00AD096F" w:rsidRPr="00D0678C">
        <w:t>no sistema bancário por forma a evitar o seu colapso.</w:t>
      </w:r>
      <w:r w:rsidR="0023364B" w:rsidRPr="00D0678C">
        <w:t xml:space="preserve"> A crise foi lenta e, segundo </w:t>
      </w:r>
      <w:r w:rsidR="00713368" w:rsidRPr="00D0678C">
        <w:rPr>
          <w:smallCaps/>
        </w:rPr>
        <w:t>George Soros</w:t>
      </w:r>
      <w:r w:rsidR="0023364B" w:rsidRPr="00D0678C">
        <w:t xml:space="preserve">, podia ter sido prevista com vários anos de antecedência. </w:t>
      </w:r>
      <w:r w:rsidR="00770734" w:rsidRPr="00D0678C">
        <w:t xml:space="preserve">Terá tido </w:t>
      </w:r>
      <w:r w:rsidR="000E17FF" w:rsidRPr="00D0678C">
        <w:t>as suas origens</w:t>
      </w:r>
      <w:r w:rsidR="00770734" w:rsidRPr="00D0678C">
        <w:t xml:space="preserve"> com o rebentar da bolha da </w:t>
      </w:r>
      <w:r w:rsidR="00770734" w:rsidRPr="00D0678C">
        <w:rPr>
          <w:i/>
        </w:rPr>
        <w:t xml:space="preserve">Internet </w:t>
      </w:r>
      <w:r w:rsidR="00770734" w:rsidRPr="00D0678C">
        <w:t>(finais de 2000). Nessa altura, a FED (Reserva Federal norte-americana, uma esp</w:t>
      </w:r>
      <w:r w:rsidR="00F74FEB" w:rsidRPr="00D0678C">
        <w:t>écie de Banco Central</w:t>
      </w:r>
      <w:r w:rsidR="0084165A" w:rsidRPr="00D0678C">
        <w:t xml:space="preserve"> e que regula a politica monetária</w:t>
      </w:r>
      <w:r w:rsidR="00F74FEB" w:rsidRPr="00D0678C">
        <w:t xml:space="preserve">) reagiu cortando as taxas de juro. Poucos meses depois, dá-se o inolvidável </w:t>
      </w:r>
      <w:r w:rsidR="0084165A" w:rsidRPr="00D0678C">
        <w:t>ataque de 11 de Setembro</w:t>
      </w:r>
      <w:r w:rsidR="0084165A" w:rsidRPr="00D0678C">
        <w:rPr>
          <w:rStyle w:val="FootnoteReference"/>
        </w:rPr>
        <w:footnoteReference w:id="6"/>
      </w:r>
      <w:r w:rsidR="0084165A" w:rsidRPr="00D0678C">
        <w:t xml:space="preserve"> com consequências devastadoras para a economia </w:t>
      </w:r>
      <w:r w:rsidR="000E17FF" w:rsidRPr="00D0678C">
        <w:t>norte-americana</w:t>
      </w:r>
      <w:r w:rsidR="0084165A" w:rsidRPr="00D0678C">
        <w:t xml:space="preserve">. </w:t>
      </w:r>
      <w:proofErr w:type="gramStart"/>
      <w:r w:rsidR="00744C23" w:rsidRPr="00D0678C">
        <w:t>A FED</w:t>
      </w:r>
      <w:proofErr w:type="gramEnd"/>
      <w:r w:rsidR="00744C23" w:rsidRPr="00D0678C">
        <w:t xml:space="preserve"> volta a reagir, cortando as taxas de juro… até atingir 1% em Julho de 2003.</w:t>
      </w:r>
      <w:r w:rsidR="00215170" w:rsidRPr="00D0678C">
        <w:t xml:space="preserve"> De resto</w:t>
      </w:r>
      <w:r w:rsidR="000E17FF" w:rsidRPr="00D0678C">
        <w:t>,</w:t>
      </w:r>
      <w:r w:rsidR="00215170" w:rsidRPr="00D0678C">
        <w:t xml:space="preserve"> foi a taxa de juro </w:t>
      </w:r>
      <w:r w:rsidR="00215170" w:rsidRPr="00D0678C">
        <w:lastRenderedPageBreak/>
        <w:t>mais baixa dos últimos 50 anos, e assim permaneceu durante um ano. Os subsequentes 31 meses conheceram</w:t>
      </w:r>
      <w:r w:rsidR="005B0D4C" w:rsidRPr="00D0678C">
        <w:t>, ineditamente,</w:t>
      </w:r>
      <w:r w:rsidR="00215170" w:rsidRPr="00D0678C">
        <w:t xml:space="preserve"> taxas de juro negativas</w:t>
      </w:r>
      <w:r w:rsidR="00215170" w:rsidRPr="00D0678C">
        <w:rPr>
          <w:rStyle w:val="FootnoteReference"/>
        </w:rPr>
        <w:footnoteReference w:id="7"/>
      </w:r>
      <w:r w:rsidR="000846A9" w:rsidRPr="00D0678C">
        <w:t xml:space="preserve"> (!</w:t>
      </w:r>
      <w:r w:rsidR="00215170" w:rsidRPr="00D0678C">
        <w:t xml:space="preserve">). </w:t>
      </w:r>
    </w:p>
    <w:p w:rsidR="005B0D4C" w:rsidRPr="00D0678C" w:rsidRDefault="002435CB" w:rsidP="00D0678C">
      <w:pPr>
        <w:spacing w:line="360" w:lineRule="auto"/>
        <w:jc w:val="both"/>
      </w:pPr>
      <w:r w:rsidRPr="00D0678C">
        <w:tab/>
      </w:r>
      <w:r w:rsidR="00267B26" w:rsidRPr="00D0678C">
        <w:rPr>
          <w:smallCaps/>
        </w:rPr>
        <w:t>Menezes Cordeiro</w:t>
      </w:r>
      <w:r w:rsidRPr="00D0678C">
        <w:rPr>
          <w:rStyle w:val="FootnoteReference"/>
        </w:rPr>
        <w:footnoteReference w:id="8"/>
      </w:r>
      <w:r w:rsidRPr="00D0678C">
        <w:t xml:space="preserve"> aponta-nos outro</w:t>
      </w:r>
      <w:r w:rsidR="000E17FF" w:rsidRPr="00D0678C">
        <w:t>s</w:t>
      </w:r>
      <w:r w:rsidRPr="00D0678C">
        <w:t xml:space="preserve"> elemento</w:t>
      </w:r>
      <w:r w:rsidR="000E17FF" w:rsidRPr="00D0678C">
        <w:t>s</w:t>
      </w:r>
      <w:r w:rsidRPr="00D0678C">
        <w:t xml:space="preserve"> que, juntamente com o “</w:t>
      </w:r>
      <w:r w:rsidRPr="00D0678C">
        <w:rPr>
          <w:i/>
        </w:rPr>
        <w:t>nine-</w:t>
      </w:r>
      <w:proofErr w:type="spellStart"/>
      <w:r w:rsidRPr="00D0678C">
        <w:rPr>
          <w:i/>
        </w:rPr>
        <w:t>eleven</w:t>
      </w:r>
      <w:proofErr w:type="spellEnd"/>
      <w:r w:rsidRPr="00D0678C">
        <w:t>”</w:t>
      </w:r>
      <w:r w:rsidR="005B0D4C" w:rsidRPr="00D0678C">
        <w:t xml:space="preserve">, </w:t>
      </w:r>
      <w:r w:rsidR="000E17FF" w:rsidRPr="00D0678C">
        <w:t xml:space="preserve">fizeram despoletar a crise: </w:t>
      </w:r>
      <w:r w:rsidR="005B0D4C" w:rsidRPr="00D0678C">
        <w:rPr>
          <w:i/>
        </w:rPr>
        <w:t>(i)</w:t>
      </w:r>
      <w:r w:rsidR="005B0D4C" w:rsidRPr="00D0678C">
        <w:t xml:space="preserve"> </w:t>
      </w:r>
      <w:proofErr w:type="gramStart"/>
      <w:r w:rsidR="00267B26" w:rsidRPr="00D0678C">
        <w:t>os escândalos</w:t>
      </w:r>
      <w:r w:rsidRPr="00D0678C">
        <w:t xml:space="preserve"> da </w:t>
      </w:r>
      <w:r w:rsidRPr="00D0678C">
        <w:rPr>
          <w:i/>
        </w:rPr>
        <w:t>Enron</w:t>
      </w:r>
      <w:r w:rsidR="00183DF2" w:rsidRPr="00D0678C">
        <w:rPr>
          <w:rStyle w:val="FootnoteReference"/>
          <w:i/>
        </w:rPr>
        <w:footnoteReference w:id="9"/>
      </w:r>
      <w:r w:rsidRPr="00D0678C">
        <w:t xml:space="preserve"> (2001) e da </w:t>
      </w:r>
      <w:proofErr w:type="spellStart"/>
      <w:r w:rsidRPr="00D0678C">
        <w:rPr>
          <w:i/>
        </w:rPr>
        <w:t>Worlcom</w:t>
      </w:r>
      <w:proofErr w:type="spellEnd"/>
      <w:r w:rsidR="00183DF2" w:rsidRPr="00D0678C">
        <w:rPr>
          <w:rStyle w:val="FootnoteReference"/>
          <w:i/>
        </w:rPr>
        <w:footnoteReference w:id="10"/>
      </w:r>
      <w:r w:rsidRPr="00D0678C">
        <w:t xml:space="preserve"> (2002)</w:t>
      </w:r>
      <w:r w:rsidR="00183DF2" w:rsidRPr="00D0678C">
        <w:t xml:space="preserve"> que criaram, primeiro no plano financeiro, um </w:t>
      </w:r>
      <w:r w:rsidR="00183DF2" w:rsidRPr="00D0678C">
        <w:rPr>
          <w:i/>
        </w:rPr>
        <w:t>crash</w:t>
      </w:r>
      <w:r w:rsidR="00183DF2" w:rsidRPr="00D0678C">
        <w:t xml:space="preserve"> bolsista e, depois no plano económico e social, um devaste</w:t>
      </w:r>
      <w:proofErr w:type="gramEnd"/>
      <w:r w:rsidR="00183DF2" w:rsidRPr="00D0678C">
        <w:t xml:space="preserve"> de 2 000 000 (!) de postos de trabalho</w:t>
      </w:r>
      <w:r w:rsidR="005B0D4C" w:rsidRPr="00D0678C">
        <w:t xml:space="preserve"> e </w:t>
      </w:r>
      <w:r w:rsidR="005B0D4C" w:rsidRPr="00D0678C">
        <w:rPr>
          <w:i/>
        </w:rPr>
        <w:t>(</w:t>
      </w:r>
      <w:proofErr w:type="spellStart"/>
      <w:r w:rsidR="005B0D4C" w:rsidRPr="00D0678C">
        <w:rPr>
          <w:i/>
        </w:rPr>
        <w:t>ii</w:t>
      </w:r>
      <w:proofErr w:type="spellEnd"/>
      <w:r w:rsidR="005B0D4C" w:rsidRPr="00D0678C">
        <w:rPr>
          <w:i/>
        </w:rPr>
        <w:t>)</w:t>
      </w:r>
      <w:r w:rsidR="005B0D4C" w:rsidRPr="00D0678C">
        <w:t xml:space="preserve"> o </w:t>
      </w:r>
      <w:r w:rsidR="000E17FF" w:rsidRPr="00D0678C">
        <w:t xml:space="preserve">crédito hipotecário </w:t>
      </w:r>
      <w:r w:rsidR="005B0D4C" w:rsidRPr="00D0678C">
        <w:t xml:space="preserve">– </w:t>
      </w:r>
      <w:proofErr w:type="spellStart"/>
      <w:r w:rsidR="005B0D4C" w:rsidRPr="00D0678C">
        <w:rPr>
          <w:i/>
        </w:rPr>
        <w:t>subprime</w:t>
      </w:r>
      <w:proofErr w:type="spellEnd"/>
      <w:r w:rsidR="00F53F0F" w:rsidRPr="00D0678C">
        <w:rPr>
          <w:rStyle w:val="FootnoteReference"/>
          <w:i/>
        </w:rPr>
        <w:footnoteReference w:id="11"/>
      </w:r>
      <w:r w:rsidR="005B0D4C" w:rsidRPr="00D0678C">
        <w:t xml:space="preserve"> – “empréstimos imobiliários </w:t>
      </w:r>
      <w:r w:rsidR="00753B65" w:rsidRPr="00D0678C">
        <w:t xml:space="preserve">[concedidos] </w:t>
      </w:r>
      <w:r w:rsidR="005B0D4C" w:rsidRPr="00D0678C">
        <w:t>a famílias de escassos recurso</w:t>
      </w:r>
      <w:r w:rsidR="00753B65" w:rsidRPr="00D0678C">
        <w:t>s</w:t>
      </w:r>
      <w:r w:rsidR="005B0D4C" w:rsidRPr="00D0678C">
        <w:t>”</w:t>
      </w:r>
      <w:r w:rsidR="00753B65" w:rsidRPr="00D0678C">
        <w:rPr>
          <w:rStyle w:val="FootnoteReference"/>
        </w:rPr>
        <w:footnoteReference w:id="12"/>
      </w:r>
      <w:r w:rsidR="005B0D4C" w:rsidRPr="00D0678C">
        <w:t xml:space="preserve"> </w:t>
      </w:r>
      <w:proofErr w:type="gramStart"/>
      <w:r w:rsidR="005B0D4C" w:rsidRPr="00D0678C">
        <w:t>e</w:t>
      </w:r>
      <w:proofErr w:type="gramEnd"/>
      <w:r w:rsidR="00753B65" w:rsidRPr="00D0678C">
        <w:t xml:space="preserve">, pior, </w:t>
      </w:r>
      <w:r w:rsidR="005B0D4C" w:rsidRPr="00D0678C">
        <w:t xml:space="preserve"> sem garantias idóneas</w:t>
      </w:r>
      <w:r w:rsidR="00753B65" w:rsidRPr="00D0678C">
        <w:t>.</w:t>
      </w:r>
      <w:r w:rsidR="00F53F0F" w:rsidRPr="00D0678C">
        <w:t xml:space="preserve"> </w:t>
      </w:r>
      <w:r w:rsidR="00753B65" w:rsidRPr="00D0678C">
        <w:t xml:space="preserve"> O</w:t>
      </w:r>
      <w:r w:rsidR="0069346A" w:rsidRPr="00D0678C">
        <w:t xml:space="preserve">ra, dinheiro barato (o seu custo, melhor dizendo) durante muito tempo originou uma bolha imobiliária – “uma explosão de aquisições [de imóveis </w:t>
      </w:r>
      <w:proofErr w:type="spellStart"/>
      <w:r w:rsidR="0069346A" w:rsidRPr="00D0678C">
        <w:rPr>
          <w:i/>
        </w:rPr>
        <w:t>et</w:t>
      </w:r>
      <w:proofErr w:type="spellEnd"/>
      <w:r w:rsidR="0069346A" w:rsidRPr="00D0678C">
        <w:rPr>
          <w:i/>
        </w:rPr>
        <w:t xml:space="preserve"> al</w:t>
      </w:r>
      <w:r w:rsidR="0069346A" w:rsidRPr="00D0678C">
        <w:t>] com recurso a dívidas”</w:t>
      </w:r>
      <w:r w:rsidR="0069346A" w:rsidRPr="00D0678C">
        <w:rPr>
          <w:rStyle w:val="FootnoteReference"/>
        </w:rPr>
        <w:footnoteReference w:id="13"/>
      </w:r>
      <w:r w:rsidR="0069346A" w:rsidRPr="00D0678C">
        <w:t xml:space="preserve"> – </w:t>
      </w:r>
      <w:proofErr w:type="gramStart"/>
      <w:r w:rsidR="0069346A" w:rsidRPr="00D0678C">
        <w:t>que</w:t>
      </w:r>
      <w:proofErr w:type="gramEnd"/>
      <w:r w:rsidR="0069346A" w:rsidRPr="00D0678C">
        <w:t xml:space="preserve"> fez crescer o mercado imobiliário em 50%. E a bolha (imobiliária) foi crescendo…</w:t>
      </w:r>
      <w:r w:rsidR="0069346A" w:rsidRPr="00D0678C">
        <w:rPr>
          <w:rStyle w:val="FootnoteReference"/>
        </w:rPr>
        <w:footnoteReference w:id="14"/>
      </w:r>
    </w:p>
    <w:p w:rsidR="00337ACC" w:rsidRPr="00D0678C" w:rsidRDefault="00753B65" w:rsidP="00D0678C">
      <w:pPr>
        <w:spacing w:line="360" w:lineRule="auto"/>
        <w:jc w:val="both"/>
      </w:pPr>
      <w:r w:rsidRPr="00D0678C">
        <w:tab/>
        <w:t>A machadada final, após sucessivos agravamentos da cr</w:t>
      </w:r>
      <w:r w:rsidR="00010170" w:rsidRPr="00D0678C">
        <w:t>ise financeira, veio na segunda-</w:t>
      </w:r>
      <w:r w:rsidRPr="00D0678C">
        <w:t xml:space="preserve">feira, 15 de Setembro de 2008 – a falência do </w:t>
      </w:r>
      <w:proofErr w:type="spellStart"/>
      <w:r w:rsidRPr="00D0678C">
        <w:rPr>
          <w:i/>
        </w:rPr>
        <w:t>Lehman</w:t>
      </w:r>
      <w:proofErr w:type="spellEnd"/>
      <w:r w:rsidRPr="00D0678C">
        <w:rPr>
          <w:i/>
        </w:rPr>
        <w:t xml:space="preserve"> </w:t>
      </w:r>
      <w:proofErr w:type="spellStart"/>
      <w:r w:rsidRPr="00D0678C">
        <w:rPr>
          <w:i/>
        </w:rPr>
        <w:t>Brothers</w:t>
      </w:r>
      <w:proofErr w:type="spellEnd"/>
      <w:r w:rsidRPr="00D0678C">
        <w:rPr>
          <w:rStyle w:val="FootnoteReference"/>
          <w:i/>
        </w:rPr>
        <w:footnoteReference w:id="15"/>
      </w:r>
      <w:r w:rsidRPr="00D0678C">
        <w:t xml:space="preserve"> e que fez ruir</w:t>
      </w:r>
      <w:r w:rsidR="00010170" w:rsidRPr="00D0678C">
        <w:t xml:space="preserve"> o sistema financeiro mundial. Hoje os </w:t>
      </w:r>
      <w:proofErr w:type="gramStart"/>
      <w:r w:rsidR="00010170" w:rsidRPr="00D0678C">
        <w:rPr>
          <w:i/>
        </w:rPr>
        <w:t>experts</w:t>
      </w:r>
      <w:proofErr w:type="gramEnd"/>
      <w:r w:rsidR="00010170" w:rsidRPr="00D0678C">
        <w:t xml:space="preserve"> consideram que foi um erro de palmatória ter deixado cair o </w:t>
      </w:r>
      <w:proofErr w:type="spellStart"/>
      <w:r w:rsidR="00010170" w:rsidRPr="00D0678C">
        <w:rPr>
          <w:i/>
        </w:rPr>
        <w:t>Lehman</w:t>
      </w:r>
      <w:proofErr w:type="spellEnd"/>
      <w:r w:rsidR="00010170" w:rsidRPr="00D0678C">
        <w:rPr>
          <w:i/>
        </w:rPr>
        <w:t xml:space="preserve"> </w:t>
      </w:r>
      <w:proofErr w:type="spellStart"/>
      <w:r w:rsidR="00010170" w:rsidRPr="00D0678C">
        <w:rPr>
          <w:i/>
        </w:rPr>
        <w:t>Brothers</w:t>
      </w:r>
      <w:proofErr w:type="spellEnd"/>
      <w:r w:rsidR="00010170" w:rsidRPr="00D0678C">
        <w:t xml:space="preserve">, porquanto, doravante, </w:t>
      </w:r>
      <w:r w:rsidR="00DC1502" w:rsidRPr="00D0678C">
        <w:t>desapareceu</w:t>
      </w:r>
      <w:r w:rsidR="00010170" w:rsidRPr="00D0678C">
        <w:t xml:space="preserve"> a (já de si pouca!) confiança dos investidores</w:t>
      </w:r>
      <w:r w:rsidR="00010170" w:rsidRPr="00D0678C">
        <w:rPr>
          <w:rStyle w:val="FootnoteReference"/>
        </w:rPr>
        <w:footnoteReference w:id="16"/>
      </w:r>
      <w:r w:rsidR="000C235A" w:rsidRPr="00D0678C">
        <w:t xml:space="preserve">. Isto levou a um desaparecimento do mercado interbancário – trocas de liquidez entre os operadores bancários – que originaram: quebras de confiança – quebra de consumo – despedimentos maciços – falências – mais despedimentos – </w:t>
      </w:r>
      <w:r w:rsidR="00BC3511" w:rsidRPr="00D0678C">
        <w:t xml:space="preserve">mais falências – </w:t>
      </w:r>
      <w:r w:rsidR="00F53F0F" w:rsidRPr="00D0678C">
        <w:t xml:space="preserve">espiral recessiva – </w:t>
      </w:r>
      <w:r w:rsidR="000C235A" w:rsidRPr="00D0678C">
        <w:t xml:space="preserve">e, para aquilo que nos detemos </w:t>
      </w:r>
      <w:r w:rsidR="002D0C96" w:rsidRPr="00D0678C">
        <w:t xml:space="preserve">– </w:t>
      </w:r>
      <w:r w:rsidR="000C235A" w:rsidRPr="00D0678C">
        <w:rPr>
          <w:i/>
        </w:rPr>
        <w:lastRenderedPageBreak/>
        <w:t>incumprimentos</w:t>
      </w:r>
      <w:r w:rsidR="00F53F0F" w:rsidRPr="00D0678C">
        <w:rPr>
          <w:i/>
        </w:rPr>
        <w:t>,</w:t>
      </w:r>
      <w:r w:rsidR="000C235A" w:rsidRPr="00D0678C">
        <w:rPr>
          <w:i/>
        </w:rPr>
        <w:t xml:space="preserve"> em massa</w:t>
      </w:r>
      <w:r w:rsidR="00F53F0F" w:rsidRPr="00D0678C">
        <w:rPr>
          <w:i/>
        </w:rPr>
        <w:t>,</w:t>
      </w:r>
      <w:r w:rsidR="000C235A" w:rsidRPr="00D0678C">
        <w:rPr>
          <w:i/>
        </w:rPr>
        <w:t xml:space="preserve"> dos pagamentos do crédito habitação</w:t>
      </w:r>
      <w:r w:rsidR="0004132E">
        <w:t xml:space="preserve">. Enfim, foi a crise do </w:t>
      </w:r>
      <w:proofErr w:type="spellStart"/>
      <w:proofErr w:type="gramStart"/>
      <w:r w:rsidR="0004132E" w:rsidRPr="0004132E">
        <w:rPr>
          <w:i/>
        </w:rPr>
        <w:t>subprime</w:t>
      </w:r>
      <w:proofErr w:type="spellEnd"/>
      <w:proofErr w:type="gramEnd"/>
      <w:r w:rsidR="0004132E">
        <w:rPr>
          <w:rStyle w:val="FootnoteReference"/>
          <w:i/>
        </w:rPr>
        <w:footnoteReference w:id="17"/>
      </w:r>
      <w:r w:rsidR="00F32532">
        <w:rPr>
          <w:i/>
        </w:rPr>
        <w:t>.</w:t>
      </w:r>
    </w:p>
    <w:p w:rsidR="000C235A" w:rsidRPr="00D0678C" w:rsidRDefault="00F70C07" w:rsidP="00D0678C">
      <w:pPr>
        <w:spacing w:line="360" w:lineRule="auto"/>
        <w:jc w:val="both"/>
      </w:pPr>
      <w:r w:rsidRPr="00D0678C">
        <w:tab/>
      </w:r>
      <w:r w:rsidR="00337ACC" w:rsidRPr="00D0678C">
        <w:t xml:space="preserve">Expostos </w:t>
      </w:r>
      <w:r w:rsidRPr="00D0678C">
        <w:t xml:space="preserve">que foram – </w:t>
      </w:r>
      <w:r w:rsidR="00337ACC" w:rsidRPr="00D0678C">
        <w:t xml:space="preserve">sucintamente </w:t>
      </w:r>
      <w:r w:rsidRPr="00D0678C">
        <w:t xml:space="preserve">– </w:t>
      </w:r>
      <w:r w:rsidR="00337ACC" w:rsidRPr="00D0678C">
        <w:t>os c</w:t>
      </w:r>
      <w:r w:rsidRPr="00D0678C">
        <w:t>ontornos da presente crise</w:t>
      </w:r>
      <w:r w:rsidRPr="00D0678C">
        <w:rPr>
          <w:rStyle w:val="FootnoteReference"/>
        </w:rPr>
        <w:footnoteReference w:id="18"/>
      </w:r>
      <w:r w:rsidRPr="00D0678C">
        <w:t xml:space="preserve">, primeiro financeira, depois, económica e social e, por fim, politica, somos levados a concluir que tudo mudou!... Talvez estejamos a assistir a uma mudança de paradigma sócio-económico-politico. </w:t>
      </w:r>
      <w:r w:rsidR="00E26753" w:rsidRPr="00D0678C">
        <w:t xml:space="preserve">Talvez não! </w:t>
      </w:r>
      <w:proofErr w:type="gramStart"/>
      <w:r w:rsidR="009276F7" w:rsidRPr="00D0678C">
        <w:t>O que é certo é que</w:t>
      </w:r>
      <w:proofErr w:type="gramEnd"/>
      <w:r w:rsidR="009276F7" w:rsidRPr="00D0678C">
        <w:t xml:space="preserve"> não temos mandato para aprofundar estas derivas…</w:t>
      </w:r>
    </w:p>
    <w:p w:rsidR="00F277A8" w:rsidRPr="00D0678C" w:rsidRDefault="00D64E0D" w:rsidP="00D0678C">
      <w:pPr>
        <w:spacing w:line="360" w:lineRule="auto"/>
        <w:jc w:val="both"/>
        <w:rPr>
          <w:b/>
        </w:rPr>
      </w:pPr>
      <w:r w:rsidRPr="00D0678C">
        <w:tab/>
      </w:r>
      <w:r w:rsidR="00F277A8" w:rsidRPr="00D0678C">
        <w:rPr>
          <w:b/>
        </w:rPr>
        <w:t xml:space="preserve">2. </w:t>
      </w:r>
      <w:r w:rsidR="00187185" w:rsidRPr="00D0678C">
        <w:rPr>
          <w:b/>
        </w:rPr>
        <w:t>Contrato de Mú</w:t>
      </w:r>
      <w:r w:rsidR="00F277A8" w:rsidRPr="00D0678C">
        <w:rPr>
          <w:b/>
        </w:rPr>
        <w:t>tuo</w:t>
      </w:r>
    </w:p>
    <w:p w:rsidR="00F277A8" w:rsidRPr="00D0678C" w:rsidRDefault="008A7AB0" w:rsidP="00D0678C">
      <w:pPr>
        <w:spacing w:line="360" w:lineRule="auto"/>
        <w:jc w:val="both"/>
        <w:rPr>
          <w:b/>
        </w:rPr>
      </w:pPr>
      <w:r w:rsidRPr="00D0678C">
        <w:rPr>
          <w:b/>
        </w:rPr>
        <w:tab/>
        <w:t>2.1</w:t>
      </w:r>
      <w:r w:rsidR="005E425F" w:rsidRPr="00D0678C">
        <w:rPr>
          <w:b/>
        </w:rPr>
        <w:t xml:space="preserve">. </w:t>
      </w:r>
      <w:r w:rsidR="00187185" w:rsidRPr="00D0678C">
        <w:rPr>
          <w:b/>
        </w:rPr>
        <w:t>Mú</w:t>
      </w:r>
      <w:r w:rsidR="00F277A8" w:rsidRPr="00D0678C">
        <w:rPr>
          <w:b/>
        </w:rPr>
        <w:t>tuo Civil</w:t>
      </w:r>
    </w:p>
    <w:p w:rsidR="00F277A8" w:rsidRPr="00D0678C" w:rsidRDefault="005E425F" w:rsidP="00D0678C">
      <w:pPr>
        <w:spacing w:line="360" w:lineRule="auto"/>
        <w:jc w:val="both"/>
      </w:pPr>
      <w:r w:rsidRPr="00D0678C">
        <w:tab/>
      </w:r>
      <w:r w:rsidR="00F277A8" w:rsidRPr="00D0678C">
        <w:t>O mútuo civil</w:t>
      </w:r>
      <w:r w:rsidR="0014369F" w:rsidRPr="00D0678C">
        <w:rPr>
          <w:rStyle w:val="FootnoteReference"/>
        </w:rPr>
        <w:footnoteReference w:id="19"/>
      </w:r>
      <w:r w:rsidR="00F277A8" w:rsidRPr="00D0678C">
        <w:t xml:space="preserve"> é um contrato </w:t>
      </w:r>
      <w:r w:rsidR="00F277A8" w:rsidRPr="00D0678C">
        <w:rPr>
          <w:i/>
        </w:rPr>
        <w:t>nominado</w:t>
      </w:r>
      <w:r w:rsidR="00F277A8" w:rsidRPr="00D0678C">
        <w:t xml:space="preserve"> e </w:t>
      </w:r>
      <w:r w:rsidR="00F277A8" w:rsidRPr="00D0678C">
        <w:rPr>
          <w:i/>
        </w:rPr>
        <w:t>típico</w:t>
      </w:r>
      <w:r w:rsidR="00F277A8" w:rsidRPr="00D0678C">
        <w:t xml:space="preserve">, que vem regulado nos </w:t>
      </w:r>
      <w:proofErr w:type="spellStart"/>
      <w:r w:rsidR="00F277A8" w:rsidRPr="00D0678C">
        <w:t>arts</w:t>
      </w:r>
      <w:proofErr w:type="spellEnd"/>
      <w:r w:rsidR="00F277A8" w:rsidRPr="00D0678C">
        <w:t>.</w:t>
      </w:r>
      <w:r w:rsidRPr="00D0678C">
        <w:t xml:space="preserve"> 1142.º </w:t>
      </w:r>
      <w:proofErr w:type="spellStart"/>
      <w:proofErr w:type="gramStart"/>
      <w:r w:rsidRPr="00D0678C">
        <w:t>ss</w:t>
      </w:r>
      <w:proofErr w:type="spellEnd"/>
      <w:proofErr w:type="gramEnd"/>
      <w:r w:rsidR="00F277A8" w:rsidRPr="00D0678C">
        <w:t xml:space="preserve"> CC, onde é definido como o contrato “pelo qual uma das partes empresta à outra dinheiro ou outra coisa fungível, ficando a segunda obrigada a restituir outro tanto </w:t>
      </w:r>
      <w:r w:rsidR="008052E8" w:rsidRPr="00D0678C">
        <w:t xml:space="preserve">do mesmo género e qualidade”. Como bem ensina </w:t>
      </w:r>
      <w:r w:rsidR="00CC241B" w:rsidRPr="00D0678C">
        <w:rPr>
          <w:smallCaps/>
        </w:rPr>
        <w:t>Carlos Ferreira De Almeida</w:t>
      </w:r>
      <w:r w:rsidR="008052E8" w:rsidRPr="00D0678C">
        <w:rPr>
          <w:rStyle w:val="FootnoteReference"/>
        </w:rPr>
        <w:footnoteReference w:id="20"/>
      </w:r>
      <w:r w:rsidR="008052E8" w:rsidRPr="00D0678C">
        <w:t xml:space="preserve">, pode-se </w:t>
      </w:r>
      <w:r w:rsidR="00C35B27" w:rsidRPr="00D0678C">
        <w:t>definir</w:t>
      </w:r>
      <w:r w:rsidR="008052E8" w:rsidRPr="00D0678C">
        <w:t xml:space="preserve"> o mútuo </w:t>
      </w:r>
      <w:r w:rsidR="00EC171F" w:rsidRPr="00D0678C">
        <w:t>como sendo</w:t>
      </w:r>
      <w:r w:rsidR="00C35B27" w:rsidRPr="00D0678C">
        <w:t xml:space="preserve"> </w:t>
      </w:r>
      <w:r w:rsidR="007473F2" w:rsidRPr="00D0678C">
        <w:t xml:space="preserve">o “contrato </w:t>
      </w:r>
      <w:r w:rsidR="00EC171F" w:rsidRPr="00D0678C">
        <w:t xml:space="preserve">oneroso </w:t>
      </w:r>
      <w:r w:rsidR="007473F2" w:rsidRPr="00D0678C">
        <w:t>pelo qual o mutuante entrega, ou se obriga a entregar, ao mutuário uma determinada quantia em dinheiro, obrigando-se o mutuário a pagar o capital e os juros</w:t>
      </w:r>
      <w:r w:rsidR="00187185" w:rsidRPr="00D0678C">
        <w:t>”, e, para além desses efeitos obrigacionais, “o contrato de m</w:t>
      </w:r>
      <w:r w:rsidR="00F32532">
        <w:t xml:space="preserve">útuo desencadeia com a entrega </w:t>
      </w:r>
      <w:r w:rsidR="00187185" w:rsidRPr="00D0678C">
        <w:t xml:space="preserve">[do dinheiro ou outra coisa fungível] a transmissão do direito sobre a coisa mutuada”, nos termos do </w:t>
      </w:r>
      <w:proofErr w:type="spellStart"/>
      <w:r w:rsidR="00187185" w:rsidRPr="00D0678C">
        <w:t>art</w:t>
      </w:r>
      <w:proofErr w:type="spellEnd"/>
      <w:r w:rsidR="00187185" w:rsidRPr="00D0678C">
        <w:t>. 1144º CC</w:t>
      </w:r>
      <w:r w:rsidR="00187185" w:rsidRPr="00D0678C">
        <w:rPr>
          <w:rStyle w:val="FootnoteReference"/>
        </w:rPr>
        <w:footnoteReference w:id="21"/>
      </w:r>
      <w:r w:rsidR="007F2FA8">
        <w:t>.</w:t>
      </w:r>
      <w:r w:rsidR="00C35B27" w:rsidRPr="00D0678C">
        <w:t xml:space="preserve"> </w:t>
      </w:r>
      <w:r w:rsidR="00B96BCD" w:rsidRPr="00D0678C">
        <w:t>O</w:t>
      </w:r>
      <w:r w:rsidR="00F277A8" w:rsidRPr="00D0678C">
        <w:t xml:space="preserve"> mútuo caracteriza-se quanto ao </w:t>
      </w:r>
      <w:proofErr w:type="spellStart"/>
      <w:r w:rsidR="00F277A8" w:rsidRPr="00D0678C">
        <w:rPr>
          <w:i/>
        </w:rPr>
        <w:t>obje</w:t>
      </w:r>
      <w:r w:rsidR="00B96BCD" w:rsidRPr="00D0678C">
        <w:rPr>
          <w:i/>
        </w:rPr>
        <w:t>c</w:t>
      </w:r>
      <w:r w:rsidR="00F277A8" w:rsidRPr="00D0678C">
        <w:rPr>
          <w:i/>
        </w:rPr>
        <w:t>to</w:t>
      </w:r>
      <w:proofErr w:type="spellEnd"/>
      <w:r w:rsidR="00F277A8" w:rsidRPr="00D0678C">
        <w:rPr>
          <w:i/>
        </w:rPr>
        <w:t xml:space="preserve"> </w:t>
      </w:r>
      <w:r w:rsidR="00F277A8" w:rsidRPr="00D0678C">
        <w:t>– dinheiro ou outra coisa fungível –</w:t>
      </w:r>
      <w:r w:rsidR="00B96BCD" w:rsidRPr="00D0678C">
        <w:t>,</w:t>
      </w:r>
      <w:r w:rsidR="00F277A8" w:rsidRPr="00D0678C">
        <w:t xml:space="preserve"> distinguindo-o de outros contratos, design</w:t>
      </w:r>
      <w:r w:rsidR="00B96BCD" w:rsidRPr="00D0678C">
        <w:t>adamente o contrato de comodato</w:t>
      </w:r>
      <w:r w:rsidR="00F277A8" w:rsidRPr="00D0678C">
        <w:rPr>
          <w:rStyle w:val="FootnoteReference"/>
        </w:rPr>
        <w:footnoteReference w:id="22"/>
      </w:r>
      <w:r w:rsidR="00F277A8" w:rsidRPr="00D0678C">
        <w:t xml:space="preserve">. 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Uma outra </w:t>
      </w:r>
      <w:r w:rsidR="00D734E8" w:rsidRPr="00D0678C">
        <w:t>característica</w:t>
      </w:r>
      <w:r w:rsidRPr="00D0678C">
        <w:t xml:space="preserve"> do mútuo, e muito relevante, é que a </w:t>
      </w:r>
      <w:r w:rsidRPr="00D0678C">
        <w:rPr>
          <w:i/>
        </w:rPr>
        <w:t>conclusão</w:t>
      </w:r>
      <w:r w:rsidRPr="00D0678C">
        <w:t xml:space="preserve"> do mesmo não assenta apenas no princípio </w:t>
      </w:r>
      <w:proofErr w:type="spellStart"/>
      <w:r w:rsidRPr="00D0678C">
        <w:rPr>
          <w:i/>
        </w:rPr>
        <w:t>pacta</w:t>
      </w:r>
      <w:proofErr w:type="spellEnd"/>
      <w:r w:rsidRPr="00D0678C">
        <w:rPr>
          <w:i/>
        </w:rPr>
        <w:t xml:space="preserve"> </w:t>
      </w:r>
      <w:proofErr w:type="spellStart"/>
      <w:r w:rsidRPr="00D0678C">
        <w:rPr>
          <w:i/>
        </w:rPr>
        <w:t>sunt</w:t>
      </w:r>
      <w:proofErr w:type="spellEnd"/>
      <w:r w:rsidRPr="00D0678C">
        <w:rPr>
          <w:i/>
        </w:rPr>
        <w:t xml:space="preserve"> </w:t>
      </w:r>
      <w:proofErr w:type="spellStart"/>
      <w:r w:rsidRPr="00D0678C">
        <w:rPr>
          <w:i/>
        </w:rPr>
        <w:t>servanda</w:t>
      </w:r>
      <w:proofErr w:type="spellEnd"/>
      <w:r w:rsidR="00D734E8" w:rsidRPr="00D0678C">
        <w:t>, assim p</w:t>
      </w:r>
      <w:r w:rsidRPr="00D0678C">
        <w:t xml:space="preserve">ara </w:t>
      </w:r>
      <w:r w:rsidR="00D734E8" w:rsidRPr="00D0678C">
        <w:t xml:space="preserve">que </w:t>
      </w:r>
      <w:r w:rsidR="00EC171F" w:rsidRPr="00D0678C">
        <w:t xml:space="preserve">o contrato </w:t>
      </w:r>
      <w:r w:rsidR="00EC171F" w:rsidRPr="00D0678C">
        <w:lastRenderedPageBreak/>
        <w:t>de mútuo produza</w:t>
      </w:r>
      <w:r w:rsidRPr="00D0678C">
        <w:t xml:space="preserve"> efeitos tem de ser entre</w:t>
      </w:r>
      <w:r w:rsidR="00D734E8" w:rsidRPr="00D0678C">
        <w:t>gue</w:t>
      </w:r>
      <w:r w:rsidRPr="00D0678C">
        <w:t xml:space="preserve"> a coisa mutuada, da</w:t>
      </w:r>
      <w:r w:rsidR="00EC171F" w:rsidRPr="00D0678C">
        <w:t>í</w:t>
      </w:r>
      <w:r w:rsidRPr="00D0678C">
        <w:t xml:space="preserve"> ser considerado um contrato </w:t>
      </w:r>
      <w:r w:rsidRPr="00D0678C">
        <w:rPr>
          <w:i/>
        </w:rPr>
        <w:t xml:space="preserve">real </w:t>
      </w:r>
      <w:proofErr w:type="spellStart"/>
      <w:r w:rsidRPr="00D0678C">
        <w:rPr>
          <w:i/>
        </w:rPr>
        <w:t>quod</w:t>
      </w:r>
      <w:proofErr w:type="spellEnd"/>
      <w:r w:rsidRPr="00D0678C">
        <w:rPr>
          <w:i/>
        </w:rPr>
        <w:t xml:space="preserve"> </w:t>
      </w:r>
      <w:proofErr w:type="spellStart"/>
      <w:r w:rsidRPr="00D0678C">
        <w:rPr>
          <w:i/>
        </w:rPr>
        <w:t>constitutionem</w:t>
      </w:r>
      <w:proofErr w:type="spellEnd"/>
      <w:r w:rsidRPr="00D0678C">
        <w:rPr>
          <w:rStyle w:val="FootnoteReference"/>
          <w:i/>
        </w:rPr>
        <w:footnoteReference w:id="23"/>
      </w:r>
      <w:r w:rsidRPr="00D0678C">
        <w:t xml:space="preserve">.  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Contudo, preconiza </w:t>
      </w:r>
      <w:r w:rsidR="00880E1C" w:rsidRPr="00D0678C">
        <w:rPr>
          <w:smallCaps/>
        </w:rPr>
        <w:t>Menezes Leitão</w:t>
      </w:r>
      <w:r w:rsidRPr="00D0678C">
        <w:rPr>
          <w:rStyle w:val="FootnoteReference"/>
        </w:rPr>
        <w:footnoteReference w:id="24"/>
      </w:r>
      <w:r w:rsidRPr="00D0678C">
        <w:t xml:space="preserve">, a tradição da coisa significa a </w:t>
      </w:r>
      <w:r w:rsidRPr="00D0678C">
        <w:rPr>
          <w:i/>
        </w:rPr>
        <w:t>disponibilidade jurídica</w:t>
      </w:r>
      <w:r w:rsidRPr="00D0678C">
        <w:t xml:space="preserve"> da mesma, não tem </w:t>
      </w:r>
      <w:r w:rsidR="00FD3E6A" w:rsidRPr="00D0678C">
        <w:t xml:space="preserve">de haver, necessariamente, </w:t>
      </w:r>
      <w:r w:rsidRPr="00D0678C">
        <w:t>a tradição material da mesma.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>Uma última nota que quere</w:t>
      </w:r>
      <w:r w:rsidR="00087934" w:rsidRPr="00D0678C">
        <w:t>mos deixar a este respeito tem que</w:t>
      </w:r>
      <w:r w:rsidRPr="00D0678C">
        <w:t xml:space="preserve"> ver com a restituição do </w:t>
      </w:r>
      <w:r w:rsidRPr="00D0678C">
        <w:rPr>
          <w:i/>
        </w:rPr>
        <w:t>tantundem</w:t>
      </w:r>
      <w:r w:rsidRPr="00D0678C">
        <w:t>, ou seja</w:t>
      </w:r>
      <w:r w:rsidR="00FD3E6A" w:rsidRPr="00D0678C">
        <w:t>,</w:t>
      </w:r>
      <w:r w:rsidRPr="00D0678C">
        <w:t xml:space="preserve"> o mutuário </w:t>
      </w:r>
      <w:r w:rsidR="00FD3E6A" w:rsidRPr="00D0678C">
        <w:t>fica obrigado a</w:t>
      </w:r>
      <w:r w:rsidRPr="00D0678C">
        <w:t xml:space="preserve"> </w:t>
      </w:r>
      <w:r w:rsidR="00FD3E6A" w:rsidRPr="00D0678C">
        <w:t>restituir</w:t>
      </w:r>
      <w:r w:rsidRPr="00D0678C">
        <w:t xml:space="preserve"> coisa de igual </w:t>
      </w:r>
      <w:r w:rsidRPr="00D0678C">
        <w:rPr>
          <w:i/>
        </w:rPr>
        <w:t>género</w:t>
      </w:r>
      <w:r w:rsidRPr="00D0678C">
        <w:t xml:space="preserve">, </w:t>
      </w:r>
      <w:r w:rsidRPr="00D0678C">
        <w:rPr>
          <w:i/>
        </w:rPr>
        <w:t>qualidade</w:t>
      </w:r>
      <w:r w:rsidRPr="00D0678C">
        <w:t xml:space="preserve"> e </w:t>
      </w:r>
      <w:r w:rsidRPr="00D0678C">
        <w:rPr>
          <w:i/>
        </w:rPr>
        <w:t>quantidade</w:t>
      </w:r>
      <w:r w:rsidRPr="00D0678C">
        <w:t>, acrescida de juros no caso do mútuo oneroso.</w:t>
      </w:r>
      <w:r w:rsidR="00FD3E6A" w:rsidRPr="00D0678C">
        <w:t xml:space="preserve"> E</w:t>
      </w:r>
      <w:r w:rsidRPr="00D0678C">
        <w:t xml:space="preserve"> correndo por conta do mutuário o risco de perecimento da coisa, este não se exonera da obrigação da sua restituição</w:t>
      </w:r>
      <w:r w:rsidRPr="00D0678C">
        <w:rPr>
          <w:rStyle w:val="FootnoteReference"/>
        </w:rPr>
        <w:footnoteReference w:id="25"/>
      </w:r>
      <w:r w:rsidRPr="00D0678C">
        <w:t xml:space="preserve">. </w:t>
      </w:r>
    </w:p>
    <w:p w:rsidR="00F277A8" w:rsidRPr="00D0678C" w:rsidRDefault="00F277A8" w:rsidP="00D0678C">
      <w:pPr>
        <w:spacing w:line="360" w:lineRule="auto"/>
        <w:jc w:val="both"/>
        <w:rPr>
          <w:b/>
        </w:rPr>
      </w:pPr>
      <w:r w:rsidRPr="00D0678C">
        <w:tab/>
      </w:r>
      <w:r w:rsidR="00FD3E6A" w:rsidRPr="00D0678C">
        <w:rPr>
          <w:b/>
        </w:rPr>
        <w:t>2.2. Mú</w:t>
      </w:r>
      <w:r w:rsidRPr="00D0678C">
        <w:rPr>
          <w:b/>
        </w:rPr>
        <w:t>tu</w:t>
      </w:r>
      <w:r w:rsidR="00FD3E6A" w:rsidRPr="00D0678C">
        <w:rPr>
          <w:b/>
        </w:rPr>
        <w:t>o</w:t>
      </w:r>
      <w:r w:rsidRPr="00D0678C">
        <w:rPr>
          <w:b/>
        </w:rPr>
        <w:t xml:space="preserve"> Mercantil</w:t>
      </w:r>
    </w:p>
    <w:p w:rsidR="00F277A8" w:rsidRPr="00D0678C" w:rsidRDefault="00FD3E6A" w:rsidP="00D0678C">
      <w:pPr>
        <w:spacing w:line="360" w:lineRule="auto"/>
        <w:ind w:firstLine="708"/>
        <w:jc w:val="both"/>
      </w:pPr>
      <w:r w:rsidRPr="00D0678C">
        <w:t>O mú</w:t>
      </w:r>
      <w:r w:rsidR="00F277A8" w:rsidRPr="00D0678C">
        <w:t xml:space="preserve">tuo diz-se mercantil </w:t>
      </w:r>
      <w:r w:rsidR="00267B26" w:rsidRPr="00D0678C">
        <w:t xml:space="preserve">(ou mútuo comercial) </w:t>
      </w:r>
      <w:r w:rsidR="00F277A8" w:rsidRPr="00D0678C">
        <w:t>quando se</w:t>
      </w:r>
      <w:r w:rsidR="00267B26" w:rsidRPr="00D0678C">
        <w:t xml:space="preserve"> presta a</w:t>
      </w:r>
      <w:r w:rsidR="00F277A8" w:rsidRPr="00D0678C">
        <w:t xml:space="preserve"> um </w:t>
      </w:r>
      <w:r w:rsidR="00267B26" w:rsidRPr="00D0678C">
        <w:t xml:space="preserve">qualquer </w:t>
      </w:r>
      <w:proofErr w:type="spellStart"/>
      <w:r w:rsidR="00F277A8" w:rsidRPr="00D0678C">
        <w:t>a</w:t>
      </w:r>
      <w:r w:rsidR="00267B26" w:rsidRPr="00D0678C">
        <w:t>cto</w:t>
      </w:r>
      <w:proofErr w:type="spellEnd"/>
      <w:r w:rsidR="00267B26" w:rsidRPr="00D0678C">
        <w:t xml:space="preserve"> de comé</w:t>
      </w:r>
      <w:r w:rsidR="00F277A8" w:rsidRPr="00D0678C">
        <w:t xml:space="preserve">rcio, assim dispõem o </w:t>
      </w:r>
      <w:proofErr w:type="spellStart"/>
      <w:r w:rsidR="00F277A8" w:rsidRPr="00D0678C">
        <w:t>art</w:t>
      </w:r>
      <w:proofErr w:type="spellEnd"/>
      <w:r w:rsidR="00F277A8" w:rsidRPr="00D0678C">
        <w:t xml:space="preserve">. 394º do </w:t>
      </w:r>
      <w:proofErr w:type="spellStart"/>
      <w:r w:rsidR="00F277A8" w:rsidRPr="00D0678C">
        <w:t>CCom</w:t>
      </w:r>
      <w:proofErr w:type="spellEnd"/>
      <w:r w:rsidR="00F277A8" w:rsidRPr="00D0678C">
        <w:t xml:space="preserve">. Temos, portanto um </w:t>
      </w:r>
      <w:proofErr w:type="spellStart"/>
      <w:r w:rsidR="00F277A8" w:rsidRPr="00D0678C">
        <w:t>a</w:t>
      </w:r>
      <w:r w:rsidR="00267B26" w:rsidRPr="00D0678C">
        <w:t>c</w:t>
      </w:r>
      <w:r w:rsidR="00F277A8" w:rsidRPr="00D0678C">
        <w:t>to</w:t>
      </w:r>
      <w:proofErr w:type="spellEnd"/>
      <w:r w:rsidR="00F277A8" w:rsidRPr="00D0678C">
        <w:t xml:space="preserve"> de </w:t>
      </w:r>
      <w:r w:rsidR="00267B26" w:rsidRPr="00D0678C">
        <w:t>comércio</w:t>
      </w:r>
      <w:r w:rsidR="00F277A8" w:rsidRPr="00D0678C">
        <w:t xml:space="preserve"> para efeitos do </w:t>
      </w:r>
      <w:proofErr w:type="spellStart"/>
      <w:r w:rsidR="00F277A8" w:rsidRPr="00D0678C">
        <w:t>art</w:t>
      </w:r>
      <w:proofErr w:type="spellEnd"/>
      <w:r w:rsidR="00F277A8" w:rsidRPr="00D0678C">
        <w:t xml:space="preserve">. 2º do </w:t>
      </w:r>
      <w:proofErr w:type="spellStart"/>
      <w:r w:rsidR="00F277A8" w:rsidRPr="00D0678C">
        <w:t>CCom</w:t>
      </w:r>
      <w:proofErr w:type="spellEnd"/>
      <w:r w:rsidR="00F277A8" w:rsidRPr="00D0678C">
        <w:t>,</w:t>
      </w:r>
      <w:r w:rsidR="00267B26" w:rsidRPr="00D0678C">
        <w:t xml:space="preserve"> por via da </w:t>
      </w:r>
      <w:r w:rsidR="00267B26" w:rsidRPr="00D0678C">
        <w:rPr>
          <w:i/>
        </w:rPr>
        <w:t>teoria do acessório</w:t>
      </w:r>
      <w:r w:rsidR="00F277A8" w:rsidRPr="00D0678C">
        <w:rPr>
          <w:rStyle w:val="FootnoteReference"/>
        </w:rPr>
        <w:footnoteReference w:id="26"/>
      </w:r>
      <w:r w:rsidR="00F277A8" w:rsidRPr="00D0678C">
        <w:t xml:space="preserve">. Como bem nos elucida </w:t>
      </w:r>
      <w:r w:rsidR="00267B26" w:rsidRPr="00D0678C">
        <w:rPr>
          <w:smallCaps/>
        </w:rPr>
        <w:t>Menezes Cordeiro</w:t>
      </w:r>
      <w:r w:rsidR="00F277A8" w:rsidRPr="00D0678C">
        <w:t>, a natureza mercantil do empréstimo não depende da estipulação do fim da coisa mutuada, “o destino mercantil será, assim, um mero facto jurídico, na disponibilid</w:t>
      </w:r>
      <w:r w:rsidR="00880E1C" w:rsidRPr="00D0678C">
        <w:t>ade do mutuário, dono da coisa”</w:t>
      </w:r>
      <w:r w:rsidR="00F277A8" w:rsidRPr="00D0678C">
        <w:rPr>
          <w:rStyle w:val="FootnoteReference"/>
        </w:rPr>
        <w:footnoteReference w:id="27"/>
      </w:r>
      <w:r w:rsidR="00F277A8" w:rsidRPr="00D0678C">
        <w:t xml:space="preserve">. 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>A natureza comercial do contrato de mútuo releva fundamentalmente po</w:t>
      </w:r>
      <w:r w:rsidR="00880E1C" w:rsidRPr="00D0678C">
        <w:t>r</w:t>
      </w:r>
      <w:r w:rsidRPr="00D0678C">
        <w:t xml:space="preserve"> duas razões: uma diz res</w:t>
      </w:r>
      <w:r w:rsidR="00880E1C" w:rsidRPr="00D0678C">
        <w:t xml:space="preserve">peito à </w:t>
      </w:r>
      <w:r w:rsidR="00880E1C" w:rsidRPr="00D0678C">
        <w:rPr>
          <w:i/>
        </w:rPr>
        <w:t>onerosidade</w:t>
      </w:r>
      <w:r w:rsidR="00880E1C" w:rsidRPr="00D0678C">
        <w:t xml:space="preserve"> do contrato –</w:t>
      </w:r>
      <w:r w:rsidRPr="00D0678C">
        <w:t xml:space="preserve"> o mútuo é sempre retribuído</w:t>
      </w:r>
      <w:r w:rsidRPr="00D0678C">
        <w:rPr>
          <w:rStyle w:val="FootnoteReference"/>
        </w:rPr>
        <w:footnoteReference w:id="28"/>
      </w:r>
      <w:r w:rsidRPr="00D0678C">
        <w:t xml:space="preserve">; </w:t>
      </w:r>
      <w:r w:rsidR="00880E1C" w:rsidRPr="00D0678C">
        <w:t xml:space="preserve">a </w:t>
      </w:r>
      <w:r w:rsidRPr="00D0678C">
        <w:t xml:space="preserve">outra diz respeito à </w:t>
      </w:r>
      <w:r w:rsidRPr="00D0678C">
        <w:rPr>
          <w:i/>
        </w:rPr>
        <w:t>liberdade de prova</w:t>
      </w:r>
      <w:r w:rsidRPr="00D0678C">
        <w:t xml:space="preserve">, no sentido das partes poderem lançar mão de todos os meios para provar as formalidades. Não </w:t>
      </w:r>
      <w:proofErr w:type="gramStart"/>
      <w:r w:rsidRPr="00D0678C">
        <w:t>faria</w:t>
      </w:r>
      <w:r w:rsidR="00880E1C" w:rsidRPr="00D0678C">
        <w:t xml:space="preserve"> </w:t>
      </w:r>
      <w:r w:rsidRPr="00D0678C">
        <w:t>sentido</w:t>
      </w:r>
      <w:proofErr w:type="gramEnd"/>
      <w:r w:rsidRPr="00D0678C">
        <w:t xml:space="preserve"> sujeitar o mútuo mercantil a formalidades muito exigentes, sob pena de contrariar o fim último do Direito Comercial e aqu</w:t>
      </w:r>
      <w:r w:rsidR="00880E1C" w:rsidRPr="00D0678C">
        <w:t xml:space="preserve">ilo que o melhor caracteriza – </w:t>
      </w:r>
      <w:proofErr w:type="spellStart"/>
      <w:r w:rsidR="00880E1C" w:rsidRPr="00D0678C">
        <w:rPr>
          <w:i/>
        </w:rPr>
        <w:t>p</w:t>
      </w:r>
      <w:r w:rsidRPr="00D0678C">
        <w:rPr>
          <w:i/>
        </w:rPr>
        <w:t>rote</w:t>
      </w:r>
      <w:r w:rsidR="00880E1C" w:rsidRPr="00D0678C">
        <w:rPr>
          <w:i/>
        </w:rPr>
        <w:t>c</w:t>
      </w:r>
      <w:r w:rsidRPr="00D0678C">
        <w:rPr>
          <w:i/>
        </w:rPr>
        <w:t>ção</w:t>
      </w:r>
      <w:proofErr w:type="spellEnd"/>
      <w:r w:rsidRPr="00D0678C">
        <w:rPr>
          <w:i/>
        </w:rPr>
        <w:t xml:space="preserve"> </w:t>
      </w:r>
      <w:r w:rsidRPr="00D0678C">
        <w:t xml:space="preserve">eficaz do crédito; </w:t>
      </w:r>
      <w:r w:rsidRPr="00D0678C">
        <w:rPr>
          <w:i/>
        </w:rPr>
        <w:t>rapidez</w:t>
      </w:r>
      <w:r w:rsidRPr="00D0678C">
        <w:t xml:space="preserve"> na conclusão dos contratos; </w:t>
      </w:r>
      <w:r w:rsidRPr="00D0678C">
        <w:rPr>
          <w:i/>
        </w:rPr>
        <w:t>transmissão</w:t>
      </w:r>
      <w:r w:rsidRPr="00D0678C">
        <w:t xml:space="preserve"> de créditos sem obstáculos com a </w:t>
      </w:r>
      <w:r w:rsidRPr="00D0678C">
        <w:lastRenderedPageBreak/>
        <w:t xml:space="preserve">manutenção da eficácia creditícia; promoção da </w:t>
      </w:r>
      <w:r w:rsidRPr="00D0678C">
        <w:rPr>
          <w:i/>
        </w:rPr>
        <w:t>segurança</w:t>
      </w:r>
      <w:r w:rsidRPr="00D0678C">
        <w:t xml:space="preserve"> nas transmi</w:t>
      </w:r>
      <w:r w:rsidR="00880E1C" w:rsidRPr="00D0678C">
        <w:t xml:space="preserve">ssões num curto </w:t>
      </w:r>
      <w:proofErr w:type="gramStart"/>
      <w:r w:rsidR="00880E1C" w:rsidRPr="00D0678C">
        <w:t>espaço</w:t>
      </w:r>
      <w:proofErr w:type="gramEnd"/>
      <w:r w:rsidR="00880E1C" w:rsidRPr="00D0678C">
        <w:t xml:space="preserve"> temporal</w:t>
      </w:r>
      <w:r w:rsidRPr="00D0678C">
        <w:rPr>
          <w:rStyle w:val="FootnoteReference"/>
        </w:rPr>
        <w:footnoteReference w:id="29"/>
      </w:r>
      <w:r w:rsidRPr="00D0678C">
        <w:t xml:space="preserve">. </w:t>
      </w:r>
    </w:p>
    <w:p w:rsidR="00F277A8" w:rsidRPr="00D0678C" w:rsidRDefault="00F277A8" w:rsidP="00D0678C">
      <w:pPr>
        <w:spacing w:line="360" w:lineRule="auto"/>
        <w:jc w:val="both"/>
        <w:rPr>
          <w:b/>
        </w:rPr>
      </w:pPr>
      <w:r w:rsidRPr="00D0678C">
        <w:rPr>
          <w:b/>
        </w:rPr>
        <w:tab/>
      </w:r>
      <w:r w:rsidR="00515861" w:rsidRPr="00D0678C">
        <w:rPr>
          <w:b/>
        </w:rPr>
        <w:t xml:space="preserve">2.3. </w:t>
      </w:r>
      <w:r w:rsidR="008C1B84" w:rsidRPr="00D0678C">
        <w:rPr>
          <w:b/>
        </w:rPr>
        <w:t>Mú</w:t>
      </w:r>
      <w:r w:rsidRPr="00D0678C">
        <w:rPr>
          <w:b/>
        </w:rPr>
        <w:t>tuo bancário</w:t>
      </w:r>
    </w:p>
    <w:p w:rsidR="00F277A8" w:rsidRPr="00D0678C" w:rsidRDefault="00880E1C" w:rsidP="00D0678C">
      <w:pPr>
        <w:spacing w:line="360" w:lineRule="auto"/>
        <w:jc w:val="both"/>
      </w:pPr>
      <w:r w:rsidRPr="00D0678C">
        <w:rPr>
          <w:b/>
        </w:rPr>
        <w:tab/>
      </w:r>
      <w:r w:rsidRPr="00D0678C">
        <w:t>O mútuo bancário</w:t>
      </w:r>
      <w:r w:rsidR="00DB293E" w:rsidRPr="00D0678C">
        <w:rPr>
          <w:rStyle w:val="FootnoteReference"/>
        </w:rPr>
        <w:footnoteReference w:id="30"/>
      </w:r>
      <w:r w:rsidRPr="00D0678C">
        <w:t xml:space="preserve"> encerra </w:t>
      </w:r>
      <w:r w:rsidR="00DB293E" w:rsidRPr="00D0678C">
        <w:t xml:space="preserve">grande importância para o presente relatório. </w:t>
      </w:r>
      <w:r w:rsidR="00F277A8" w:rsidRPr="00D0678C">
        <w:t>O mútuo bancário</w:t>
      </w:r>
      <w:r w:rsidR="00DB293E" w:rsidRPr="00D0678C">
        <w:t>,</w:t>
      </w:r>
      <w:r w:rsidR="00F277A8" w:rsidRPr="00D0678C">
        <w:t xml:space="preserve"> nos termos do </w:t>
      </w:r>
      <w:proofErr w:type="spellStart"/>
      <w:r w:rsidR="00F277A8" w:rsidRPr="00D0678C">
        <w:t>art</w:t>
      </w:r>
      <w:proofErr w:type="spellEnd"/>
      <w:r w:rsidR="00F277A8" w:rsidRPr="00D0678C">
        <w:t xml:space="preserve">. 362º do </w:t>
      </w:r>
      <w:proofErr w:type="spellStart"/>
      <w:r w:rsidR="00F277A8" w:rsidRPr="00D0678C">
        <w:t>CCom</w:t>
      </w:r>
      <w:proofErr w:type="spellEnd"/>
      <w:r w:rsidR="00F277A8" w:rsidRPr="00D0678C">
        <w:t>, consubstancia</w:t>
      </w:r>
      <w:r w:rsidR="004A3C3F" w:rsidRPr="00D0678C">
        <w:t>-se</w:t>
      </w:r>
      <w:r w:rsidR="00F277A8" w:rsidRPr="00D0678C">
        <w:t xml:space="preserve"> numa </w:t>
      </w:r>
      <w:r w:rsidR="004A3C3F" w:rsidRPr="00D0678C">
        <w:t xml:space="preserve">operação </w:t>
      </w:r>
      <w:r w:rsidR="00F277A8" w:rsidRPr="00D0678C">
        <w:t>bancária,</w:t>
      </w:r>
      <w:r w:rsidR="004A3C3F" w:rsidRPr="00D0678C">
        <w:t xml:space="preserve"> i.e., “</w:t>
      </w:r>
      <w:r w:rsidR="00F277A8" w:rsidRPr="00D0678C">
        <w:t>todas as operações de bancos tendentes a realizar lucros sobre numerário, fundos públicos ou títulos negociáveis, e em especial as de câmbio, os arbítrios, os empréstimos, descontos, cobranças, aberturas de crédito, emissão e circulação de notas ou títulos fiduciários pagáveis à vista e ao portador”.</w:t>
      </w:r>
      <w:r w:rsidR="004A3C3F" w:rsidRPr="00D0678C">
        <w:t xml:space="preserve"> </w:t>
      </w:r>
      <w:r w:rsidR="00CC241B" w:rsidRPr="00D0678C">
        <w:rPr>
          <w:smallCaps/>
        </w:rPr>
        <w:t>Carlos Ferreira De Almeida</w:t>
      </w:r>
      <w:r w:rsidR="004A3C3F" w:rsidRPr="00D0678C">
        <w:t xml:space="preserve"> dilucida-nos que “é o mais frequente </w:t>
      </w:r>
      <w:r w:rsidR="00E86EEA" w:rsidRPr="00D0678C">
        <w:t xml:space="preserve">[mais conhecido] </w:t>
      </w:r>
      <w:r w:rsidR="004A3C3F" w:rsidRPr="00D0678C">
        <w:t xml:space="preserve">subtipo </w:t>
      </w:r>
      <w:r w:rsidR="00E86EEA" w:rsidRPr="00D0678C">
        <w:t>do mútuo oneroso de dinheiro</w:t>
      </w:r>
      <w:r w:rsidR="00E86EEA" w:rsidRPr="00D0678C">
        <w:rPr>
          <w:rStyle w:val="FootnoteReference"/>
        </w:rPr>
        <w:footnoteReference w:id="31"/>
      </w:r>
      <w:r w:rsidR="00E86EEA" w:rsidRPr="00D0678C">
        <w:t>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Recorrendo ao labor de </w:t>
      </w:r>
      <w:r w:rsidRPr="00D0678C">
        <w:rPr>
          <w:smallCaps/>
        </w:rPr>
        <w:t>Engrácia Antunes</w:t>
      </w:r>
      <w:r w:rsidR="00E86EEA" w:rsidRPr="00D0678C">
        <w:t xml:space="preserve">, </w:t>
      </w:r>
      <w:r w:rsidRPr="00D0678C">
        <w:t xml:space="preserve">o contrato bancário </w:t>
      </w:r>
      <w:r w:rsidR="00E86EEA" w:rsidRPr="00D0678C">
        <w:t>é “</w:t>
      </w:r>
      <w:r w:rsidRPr="00D0678C">
        <w:t>o contrato pelo qual o banco (mutuante) entrega ou se obriga a entregar uma determinada quantia em dinheiro ao cliente (mutuário), ficando este obrigado a restituir outro tanto do mesmo género e qualidade</w:t>
      </w:r>
      <w:r w:rsidR="00E86EEA" w:rsidRPr="00D0678C">
        <w:t xml:space="preserve"> (</w:t>
      </w:r>
      <w:proofErr w:type="spellStart"/>
      <w:r w:rsidR="00E86EEA" w:rsidRPr="00D0678C">
        <w:rPr>
          <w:i/>
        </w:rPr>
        <w:t>tantundundem</w:t>
      </w:r>
      <w:proofErr w:type="spellEnd"/>
      <w:r w:rsidR="00E86EEA" w:rsidRPr="00D0678C">
        <w:t>)</w:t>
      </w:r>
      <w:r w:rsidRPr="00D0678C">
        <w:t xml:space="preserve">, acrescido dos </w:t>
      </w:r>
      <w:proofErr w:type="spellStart"/>
      <w:r w:rsidRPr="00D0678C">
        <w:t>respectivos</w:t>
      </w:r>
      <w:proofErr w:type="spellEnd"/>
      <w:r w:rsidRPr="00D0678C">
        <w:t xml:space="preserve"> juros”</w:t>
      </w:r>
      <w:r w:rsidRPr="00D0678C">
        <w:rPr>
          <w:rStyle w:val="FootnoteReference"/>
        </w:rPr>
        <w:footnoteReference w:id="32"/>
      </w:r>
      <w:r w:rsidRPr="00D0678C">
        <w:t xml:space="preserve">. Uma outra particularidade do mútuo bancário </w:t>
      </w:r>
      <w:r w:rsidR="0083204F" w:rsidRPr="00D0678C">
        <w:t>obedecer a uma</w:t>
      </w:r>
      <w:r w:rsidRPr="00D0678C">
        <w:t xml:space="preserve"> forma </w:t>
      </w:r>
      <w:r w:rsidRPr="00D0678C">
        <w:rPr>
          <w:i/>
        </w:rPr>
        <w:t>aligeirada</w:t>
      </w:r>
      <w:r w:rsidR="00E86EEA" w:rsidRPr="00D0678C">
        <w:t xml:space="preserve"> para a sua constituição</w:t>
      </w:r>
      <w:r w:rsidRPr="00D0678C">
        <w:t>, conforme se di</w:t>
      </w:r>
      <w:r w:rsidR="007524CA" w:rsidRPr="00D0678C">
        <w:t xml:space="preserve">spõem no </w:t>
      </w:r>
      <w:proofErr w:type="spellStart"/>
      <w:r w:rsidR="007524CA" w:rsidRPr="00D0678C">
        <w:t>Art</w:t>
      </w:r>
      <w:proofErr w:type="spellEnd"/>
      <w:r w:rsidR="007524CA" w:rsidRPr="00D0678C">
        <w:t>. Ú</w:t>
      </w:r>
      <w:r w:rsidR="0083204F" w:rsidRPr="00D0678C">
        <w:t>nico do Decreto-lei 32.765,</w:t>
      </w:r>
      <w:r w:rsidRPr="00D0678C">
        <w:t xml:space="preserve"> de 29 de Abril de 1943</w:t>
      </w:r>
      <w:r w:rsidRPr="00D0678C">
        <w:rPr>
          <w:rStyle w:val="FootnoteReference"/>
        </w:rPr>
        <w:footnoteReference w:id="33"/>
      </w:r>
      <w:r w:rsidRPr="00D0678C">
        <w:t xml:space="preserve">. 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Ao </w:t>
      </w:r>
      <w:r w:rsidR="00E86EEA" w:rsidRPr="00D0678C">
        <w:t>mútuo</w:t>
      </w:r>
      <w:r w:rsidRPr="00D0678C">
        <w:t xml:space="preserve"> bancário em geral, aplicam-se as regras específicas do DL n.º 344/78, de 17 de Novembro, com as alterações sucessivamente introduzidas pelos Decretos-Lei </w:t>
      </w:r>
      <w:proofErr w:type="spellStart"/>
      <w:r w:rsidRPr="00D0678C">
        <w:t>ns</w:t>
      </w:r>
      <w:proofErr w:type="spellEnd"/>
      <w:r w:rsidRPr="00D0678C">
        <w:t>. 83/86, de 6 de Maio, e 204/87, de 16 de Maio.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Tal como preconiza </w:t>
      </w:r>
      <w:r w:rsidRPr="00D0678C">
        <w:rPr>
          <w:smallCaps/>
        </w:rPr>
        <w:t>Menezes Cordeiro</w:t>
      </w:r>
      <w:r w:rsidR="003040D4" w:rsidRPr="00D0678C">
        <w:t>, “</w:t>
      </w:r>
      <w:r w:rsidRPr="00D0678C">
        <w:t xml:space="preserve">o </w:t>
      </w:r>
      <w:r w:rsidR="00E86EEA" w:rsidRPr="00D0678C">
        <w:t>mútuo</w:t>
      </w:r>
      <w:r w:rsidRPr="00D0678C">
        <w:t xml:space="preserve"> bancário tem, ainda, a particularidade importante de s</w:t>
      </w:r>
      <w:r w:rsidR="00553660" w:rsidRPr="00D0678C">
        <w:t>e</w:t>
      </w:r>
      <w:r w:rsidRPr="00D0678C">
        <w:t xml:space="preserve">r um </w:t>
      </w:r>
      <w:r w:rsidR="00E86EEA" w:rsidRPr="00D0678C">
        <w:rPr>
          <w:i/>
        </w:rPr>
        <w:t>mútuo</w:t>
      </w:r>
      <w:r w:rsidRPr="00D0678C">
        <w:rPr>
          <w:i/>
        </w:rPr>
        <w:t xml:space="preserve"> de escopo</w:t>
      </w:r>
      <w:r w:rsidRPr="00D0678C">
        <w:t xml:space="preserve">, isto é: um </w:t>
      </w:r>
      <w:r w:rsidR="00E86EEA" w:rsidRPr="00D0678C">
        <w:t>mútuo</w:t>
      </w:r>
      <w:r w:rsidRPr="00D0678C">
        <w:t xml:space="preserve"> no qual, contratualmente, o mutuário fica adstrito a dar um </w:t>
      </w:r>
      <w:r w:rsidRPr="00D0678C">
        <w:rPr>
          <w:i/>
        </w:rPr>
        <w:t xml:space="preserve">determinado </w:t>
      </w:r>
      <w:proofErr w:type="gramStart"/>
      <w:r w:rsidRPr="00D0678C">
        <w:rPr>
          <w:i/>
        </w:rPr>
        <w:t>destino</w:t>
      </w:r>
      <w:proofErr w:type="gramEnd"/>
      <w:r w:rsidRPr="00D0678C">
        <w:t xml:space="preserve"> à import</w:t>
      </w:r>
      <w:r w:rsidR="00553660" w:rsidRPr="00D0678C">
        <w:t>ância mutuada”</w:t>
      </w:r>
      <w:r w:rsidRPr="00D0678C">
        <w:rPr>
          <w:rStyle w:val="FootnoteReference"/>
        </w:rPr>
        <w:footnoteReference w:id="34"/>
      </w:r>
      <w:r w:rsidR="00553660" w:rsidRPr="00D0678C">
        <w:t xml:space="preserve">, </w:t>
      </w:r>
      <w:proofErr w:type="gramStart"/>
      <w:r w:rsidR="00553660" w:rsidRPr="00D0678C">
        <w:t>é</w:t>
      </w:r>
      <w:proofErr w:type="gramEnd"/>
      <w:r w:rsidR="00553660" w:rsidRPr="00D0678C">
        <w:t xml:space="preserve"> portanto</w:t>
      </w:r>
      <w:r w:rsidRPr="00D0678C">
        <w:t xml:space="preserve"> um escopo, geralmente, convencionado.</w:t>
      </w:r>
      <w:r w:rsidR="0009018E" w:rsidRPr="00D0678C">
        <w:t xml:space="preserve"> A</w:t>
      </w:r>
      <w:r w:rsidRPr="00D0678C">
        <w:t xml:space="preserve"> lei consagra regimes </w:t>
      </w:r>
      <w:r w:rsidRPr="00D0678C">
        <w:lastRenderedPageBreak/>
        <w:t xml:space="preserve">específicos de mútuos de escopo, </w:t>
      </w:r>
      <w:r w:rsidR="00EA72B2" w:rsidRPr="00D0678C">
        <w:t xml:space="preserve">sendo que </w:t>
      </w:r>
      <w:r w:rsidRPr="00D0678C">
        <w:t xml:space="preserve">o mais relevante para nós é o que resulta do Decreto-lei nº 349/98, relativo ao </w:t>
      </w:r>
      <w:r w:rsidRPr="00D0678C">
        <w:rPr>
          <w:i/>
        </w:rPr>
        <w:t>crédito à habitação</w:t>
      </w:r>
      <w:r w:rsidRPr="00D0678C">
        <w:t xml:space="preserve"> </w:t>
      </w:r>
      <w:r w:rsidR="0009018E" w:rsidRPr="00D0678C">
        <w:t>(</w:t>
      </w:r>
      <w:proofErr w:type="spellStart"/>
      <w:r w:rsidR="00E86EEA" w:rsidRPr="00D0678C">
        <w:t>objecto</w:t>
      </w:r>
      <w:proofErr w:type="spellEnd"/>
      <w:r w:rsidRPr="00D0678C">
        <w:t xml:space="preserve"> de diversas alterações</w:t>
      </w:r>
      <w:r w:rsidR="0009018E" w:rsidRPr="00D0678C">
        <w:t>)</w:t>
      </w:r>
      <w:r w:rsidRPr="00D0678C">
        <w:t xml:space="preserve">. 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Parece-nos ainda pertinente anotar que o contrato de </w:t>
      </w:r>
      <w:r w:rsidR="00E86EEA" w:rsidRPr="00D0678C">
        <w:t>mútuo</w:t>
      </w:r>
      <w:r w:rsidRPr="00D0678C">
        <w:t xml:space="preserve"> de escopo não implica a </w:t>
      </w:r>
      <w:r w:rsidR="00E86EEA" w:rsidRPr="00D0678C">
        <w:t>descaracterização</w:t>
      </w:r>
      <w:r w:rsidRPr="00D0678C">
        <w:t xml:space="preserve"> do contrato, ou seja, as características</w:t>
      </w:r>
      <w:r w:rsidRPr="00D0678C">
        <w:rPr>
          <w:i/>
        </w:rPr>
        <w:t xml:space="preserve"> supra</w:t>
      </w:r>
      <w:r w:rsidR="0009018E" w:rsidRPr="00D0678C">
        <w:t xml:space="preserve"> mencionadas mantêm-se</w:t>
      </w:r>
      <w:r w:rsidRPr="00D0678C">
        <w:rPr>
          <w:rStyle w:val="FootnoteReference"/>
        </w:rPr>
        <w:footnoteReference w:id="35"/>
      </w:r>
      <w:r w:rsidRPr="00D0678C">
        <w:t xml:space="preserve">. 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Quanto à </w:t>
      </w:r>
      <w:r w:rsidRPr="00D0678C">
        <w:rPr>
          <w:i/>
        </w:rPr>
        <w:t>extinção do mútuo</w:t>
      </w:r>
      <w:r w:rsidRPr="00D0678C">
        <w:t>, pode acontecer antecipadamente – perda d</w:t>
      </w:r>
      <w:r w:rsidR="0009018E" w:rsidRPr="00D0678C">
        <w:t>o benefício do prazo –</w:t>
      </w:r>
      <w:r w:rsidRPr="00D0678C">
        <w:t xml:space="preserve"> quando o mutuário se torna insolvente, ou deixa de prestar garantias</w:t>
      </w:r>
      <w:r w:rsidRPr="00D0678C">
        <w:rPr>
          <w:rStyle w:val="FootnoteReference"/>
        </w:rPr>
        <w:footnoteReference w:id="36"/>
      </w:r>
      <w:r w:rsidRPr="00D0678C">
        <w:t>; quando a restituição da quantia seja em prestações e o mu</w:t>
      </w:r>
      <w:r w:rsidR="0009018E" w:rsidRPr="00D0678C">
        <w:t>tuário não cumpre uma prestação – havendo a antecipação da exigibilidade de todas as prestações</w:t>
      </w:r>
      <w:r w:rsidRPr="00D0678C">
        <w:rPr>
          <w:rStyle w:val="FootnoteReference"/>
        </w:rPr>
        <w:footnoteReference w:id="37"/>
      </w:r>
      <w:r w:rsidRPr="00D0678C">
        <w:t>; assim como no caso de incumprimento, pelo mutuário, da obrigação de pagamento de juros no mútuo oneroso</w:t>
      </w:r>
      <w:r w:rsidR="0009018E" w:rsidRPr="00D0678C">
        <w:rPr>
          <w:rStyle w:val="FootnoteReference"/>
        </w:rPr>
        <w:footnoteReference w:id="38"/>
      </w:r>
      <w:r w:rsidRPr="00D0678C">
        <w:t xml:space="preserve"> e de </w:t>
      </w:r>
      <w:proofErr w:type="spellStart"/>
      <w:r w:rsidR="00E86EEA" w:rsidRPr="00D0678C">
        <w:t>afectação</w:t>
      </w:r>
      <w:proofErr w:type="spellEnd"/>
      <w:r w:rsidRPr="00D0678C">
        <w:t xml:space="preserve"> da quantia a fins diversos daqueles a que se destinava</w:t>
      </w:r>
      <w:r w:rsidR="0009018E" w:rsidRPr="00D0678C">
        <w:t xml:space="preserve"> (o mútuo de escopo)</w:t>
      </w:r>
      <w:r w:rsidRPr="00D0678C">
        <w:t>.</w:t>
      </w:r>
    </w:p>
    <w:p w:rsidR="00F277A8" w:rsidRPr="00D0678C" w:rsidRDefault="00F277A8" w:rsidP="00D0678C">
      <w:pPr>
        <w:spacing w:line="360" w:lineRule="auto"/>
        <w:jc w:val="both"/>
        <w:rPr>
          <w:color w:val="000080"/>
        </w:rPr>
      </w:pPr>
      <w:r w:rsidRPr="00D0678C">
        <w:tab/>
        <w:t>A extinção antecipada do mútuo, motivada pelo mutuante, não faz vencer</w:t>
      </w:r>
      <w:r w:rsidRPr="00D0678C">
        <w:rPr>
          <w:color w:val="000080"/>
        </w:rPr>
        <w:t xml:space="preserve"> </w:t>
      </w:r>
      <w:r w:rsidRPr="00D0678C">
        <w:t>juros</w:t>
      </w:r>
      <w:r w:rsidRPr="00D0678C">
        <w:rPr>
          <w:color w:val="000080"/>
        </w:rPr>
        <w:t xml:space="preserve">. </w:t>
      </w:r>
      <w:r w:rsidRPr="00D0678C">
        <w:t xml:space="preserve">A antecipação, antes do termo do prazo, parece-se justificar pela perda da confiança que se produz no credor, relativamente ao </w:t>
      </w:r>
      <w:r w:rsidR="00EA72B2" w:rsidRPr="00D0678C">
        <w:t>(</w:t>
      </w:r>
      <w:proofErr w:type="gramStart"/>
      <w:r w:rsidR="00EA72B2" w:rsidRPr="00D0678C">
        <w:t>in)</w:t>
      </w:r>
      <w:r w:rsidRPr="00D0678C">
        <w:t>cumprimento</w:t>
      </w:r>
      <w:proofErr w:type="gramEnd"/>
      <w:r w:rsidRPr="00D0678C">
        <w:t xml:space="preserve">, pela falta de realização de uma das prestações ou pela falta de garantias que as caucione ou para uso da coisa mutuada para fim diverso do convencionado. A perda do beneficio do prazo “não conduz ao vencimento antecipado de prestações de juros, pois o que passa a ser imediatamente exigível, com a falta de pagamento de uma das prestações, pela perda do benefício do prazo, são todas as </w:t>
      </w:r>
      <w:proofErr w:type="spellStart"/>
      <w:r w:rsidRPr="00D0678C">
        <w:t>fracções</w:t>
      </w:r>
      <w:proofErr w:type="spellEnd"/>
      <w:r w:rsidRPr="00D0678C">
        <w:t xml:space="preserve"> da dívida única parcelada (o capital), não podendo os suplementos de juros, incluídos nas prestações de capital cujo vencimento é antecipado, ser exigidos como juros remuneratórios, por não poderem ser calculados em proporção de um tempo decorrido, por não corresponderem </w:t>
      </w:r>
      <w:r w:rsidR="00EA72B2" w:rsidRPr="00D0678C">
        <w:t xml:space="preserve">a um tempo </w:t>
      </w:r>
      <w:proofErr w:type="spellStart"/>
      <w:r w:rsidR="00EA72B2" w:rsidRPr="00D0678C">
        <w:t>efectivamente</w:t>
      </w:r>
      <w:proofErr w:type="spellEnd"/>
      <w:r w:rsidR="00EA72B2" w:rsidRPr="00D0678C">
        <w:t xml:space="preserve"> gasto”</w:t>
      </w:r>
      <w:r w:rsidRPr="00D0678C">
        <w:rPr>
          <w:rStyle w:val="FootnoteReference"/>
        </w:rPr>
        <w:footnoteReference w:id="39"/>
      </w:r>
      <w:r w:rsidRPr="00D0678C">
        <w:t>.</w:t>
      </w:r>
    </w:p>
    <w:p w:rsidR="00F277A8" w:rsidRPr="00D0678C" w:rsidRDefault="00F277A8" w:rsidP="00D0678C">
      <w:pPr>
        <w:spacing w:line="360" w:lineRule="auto"/>
        <w:ind w:firstLine="708"/>
        <w:jc w:val="both"/>
        <w:rPr>
          <w:b/>
        </w:rPr>
      </w:pPr>
      <w:r w:rsidRPr="00D0678C">
        <w:rPr>
          <w:b/>
        </w:rPr>
        <w:t>3.</w:t>
      </w:r>
      <w:r w:rsidR="00085230" w:rsidRPr="00D0678C">
        <w:rPr>
          <w:b/>
        </w:rPr>
        <w:t xml:space="preserve"> </w:t>
      </w:r>
      <w:r w:rsidRPr="00D0678C">
        <w:rPr>
          <w:b/>
        </w:rPr>
        <w:t>Garantias</w:t>
      </w:r>
      <w:r w:rsidR="00AD27A5" w:rsidRPr="00D0678C">
        <w:rPr>
          <w:b/>
        </w:rPr>
        <w:t>: noção funcional</w:t>
      </w:r>
    </w:p>
    <w:p w:rsidR="00F277A8" w:rsidRPr="00D0678C" w:rsidRDefault="00CC241B" w:rsidP="00D0678C">
      <w:pPr>
        <w:spacing w:line="360" w:lineRule="auto"/>
        <w:ind w:firstLine="708"/>
        <w:jc w:val="both"/>
      </w:pPr>
      <w:r w:rsidRPr="00D0678C">
        <w:rPr>
          <w:smallCaps/>
        </w:rPr>
        <w:t>Menezes Cordeiro</w:t>
      </w:r>
      <w:r w:rsidRPr="00D0678C">
        <w:t xml:space="preserve"> </w:t>
      </w:r>
      <w:r w:rsidR="00AD27A5" w:rsidRPr="00D0678C">
        <w:t>afirma categoricamente que “</w:t>
      </w:r>
      <w:proofErr w:type="gramStart"/>
      <w:r w:rsidR="00AD27A5" w:rsidRPr="00D0678C">
        <w:t>[o</w:t>
      </w:r>
      <w:proofErr w:type="gramEnd"/>
      <w:r w:rsidR="00AD27A5" w:rsidRPr="00D0678C">
        <w:t>] risco nas obrigações pode ser controlado, minimizado ou, no limite, suprimido, através de garantias”</w:t>
      </w:r>
      <w:r w:rsidR="00AD27A5" w:rsidRPr="00D0678C">
        <w:rPr>
          <w:rStyle w:val="FootnoteReference"/>
        </w:rPr>
        <w:footnoteReference w:id="40"/>
      </w:r>
      <w:r w:rsidR="00AD27A5" w:rsidRPr="00D0678C">
        <w:t xml:space="preserve">, </w:t>
      </w:r>
      <w:proofErr w:type="gramStart"/>
      <w:r w:rsidR="00AD27A5" w:rsidRPr="00D0678C">
        <w:t>ou</w:t>
      </w:r>
      <w:proofErr w:type="gramEnd"/>
      <w:r w:rsidR="00AD27A5" w:rsidRPr="00D0678C">
        <w:t xml:space="preserve"> seja, devem ser criados esquemas  destinados a enfrentar o risco – por forma a cumprir </w:t>
      </w:r>
      <w:r w:rsidR="00AD27A5" w:rsidRPr="00D0678C">
        <w:lastRenderedPageBreak/>
        <w:t>escrupulosamente as obrigações</w:t>
      </w:r>
      <w:r w:rsidR="00AD27A5" w:rsidRPr="00D0678C">
        <w:rPr>
          <w:rStyle w:val="FootnoteReference"/>
        </w:rPr>
        <w:footnoteReference w:id="41"/>
      </w:r>
      <w:r w:rsidR="00AD27A5" w:rsidRPr="00D0678C">
        <w:t xml:space="preserve">.  Temos por incontestável que </w:t>
      </w:r>
      <w:r w:rsidR="00F277A8" w:rsidRPr="00D0678C">
        <w:t>“</w:t>
      </w:r>
      <w:r w:rsidR="00AD27A5" w:rsidRPr="00D0678C">
        <w:t>o</w:t>
      </w:r>
      <w:r w:rsidR="00F277A8" w:rsidRPr="00D0678C">
        <w:t xml:space="preserve"> inadimplemento de uma obrigação confere ao </w:t>
      </w:r>
      <w:proofErr w:type="spellStart"/>
      <w:r w:rsidR="00E86EEA" w:rsidRPr="00D0678C">
        <w:t>respectivo</w:t>
      </w:r>
      <w:proofErr w:type="spellEnd"/>
      <w:r w:rsidR="00F277A8" w:rsidRPr="00D0678C">
        <w:t xml:space="preserve"> credor o direito de a</w:t>
      </w:r>
      <w:r w:rsidR="00AD27A5" w:rsidRPr="00D0678C">
        <w:t>gredir o património do devedor”</w:t>
      </w:r>
      <w:r w:rsidR="00F277A8" w:rsidRPr="00D0678C">
        <w:rPr>
          <w:rStyle w:val="FootnoteReference"/>
        </w:rPr>
        <w:footnoteReference w:id="42"/>
      </w:r>
      <w:r w:rsidR="00F277A8" w:rsidRPr="00D0678C">
        <w:t xml:space="preserve">. Trata-se de uma possibilidade, que </w:t>
      </w:r>
      <w:r w:rsidR="00F277A8" w:rsidRPr="00D0678C">
        <w:rPr>
          <w:i/>
        </w:rPr>
        <w:t>todos</w:t>
      </w:r>
      <w:r w:rsidR="00F277A8" w:rsidRPr="00D0678C">
        <w:t xml:space="preserve"> os credores dispõem, pois</w:t>
      </w:r>
      <w:r w:rsidR="00F47AD7" w:rsidRPr="00D0678C">
        <w:t>,</w:t>
      </w:r>
      <w:r w:rsidR="00F277A8" w:rsidRPr="00D0678C">
        <w:t xml:space="preserve"> à partida</w:t>
      </w:r>
      <w:r w:rsidR="00F47AD7" w:rsidRPr="00D0678C">
        <w:t>,</w:t>
      </w:r>
      <w:r w:rsidR="00F277A8" w:rsidRPr="00D0678C">
        <w:t xml:space="preserve"> estão em pé de igualdade, </w:t>
      </w:r>
      <w:r w:rsidR="00DB305D" w:rsidRPr="00D0678C">
        <w:t>vigorando o</w:t>
      </w:r>
      <w:r w:rsidR="00F277A8" w:rsidRPr="00D0678C">
        <w:t xml:space="preserve"> princípio </w:t>
      </w:r>
      <w:r w:rsidR="00F277A8" w:rsidRPr="00D0678C">
        <w:rPr>
          <w:i/>
        </w:rPr>
        <w:t xml:space="preserve">par </w:t>
      </w:r>
      <w:proofErr w:type="spellStart"/>
      <w:r w:rsidR="00F277A8" w:rsidRPr="00D0678C">
        <w:rPr>
          <w:i/>
        </w:rPr>
        <w:t>conditio</w:t>
      </w:r>
      <w:proofErr w:type="spellEnd"/>
      <w:r w:rsidR="00F277A8" w:rsidRPr="00D0678C">
        <w:rPr>
          <w:i/>
        </w:rPr>
        <w:t xml:space="preserve"> </w:t>
      </w:r>
      <w:proofErr w:type="spellStart"/>
      <w:r w:rsidR="00F277A8" w:rsidRPr="00D0678C">
        <w:rPr>
          <w:i/>
        </w:rPr>
        <w:t>creditorum</w:t>
      </w:r>
      <w:proofErr w:type="spellEnd"/>
      <w:r w:rsidR="00F277A8" w:rsidRPr="00D0678C">
        <w:rPr>
          <w:i/>
        </w:rPr>
        <w:t xml:space="preserve">, </w:t>
      </w:r>
      <w:r w:rsidR="00F277A8" w:rsidRPr="00D0678C">
        <w:t xml:space="preserve">consagrado no </w:t>
      </w:r>
      <w:proofErr w:type="spellStart"/>
      <w:r w:rsidR="00F277A8" w:rsidRPr="00D0678C">
        <w:t>art</w:t>
      </w:r>
      <w:proofErr w:type="spellEnd"/>
      <w:r w:rsidR="00F277A8" w:rsidRPr="00D0678C">
        <w:t>. 604º do CC.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t>Em caso de incumprimento de uma obrigação</w:t>
      </w:r>
      <w:r w:rsidR="001775F8" w:rsidRPr="00D0678C">
        <w:t>,</w:t>
      </w:r>
      <w:r w:rsidRPr="00D0678C">
        <w:t xml:space="preserve"> o credor </w:t>
      </w:r>
      <w:r w:rsidR="00F549D9" w:rsidRPr="00D0678C">
        <w:t>pode atacar</w:t>
      </w:r>
      <w:r w:rsidR="006D5B09" w:rsidRPr="00D0678C">
        <w:t xml:space="preserve"> todos</w:t>
      </w:r>
      <w:r w:rsidRPr="00D0678C">
        <w:rPr>
          <w:rStyle w:val="FootnoteReference"/>
        </w:rPr>
        <w:footnoteReference w:id="43"/>
      </w:r>
      <w:r w:rsidRPr="00D0678C">
        <w:t xml:space="preserve"> os bens do devedor, </w:t>
      </w:r>
      <w:proofErr w:type="spellStart"/>
      <w:r w:rsidR="00E86EEA" w:rsidRPr="00D0678C">
        <w:t>susceptíveis</w:t>
      </w:r>
      <w:proofErr w:type="spellEnd"/>
      <w:r w:rsidRPr="00D0678C">
        <w:t xml:space="preserve"> de penhora</w:t>
      </w:r>
      <w:r w:rsidR="00F549D9" w:rsidRPr="00D0678C">
        <w:t>, para satisfazer o seu crédito</w:t>
      </w:r>
      <w:r w:rsidRPr="00D0678C">
        <w:rPr>
          <w:rStyle w:val="FootnoteReference"/>
        </w:rPr>
        <w:footnoteReference w:id="44"/>
      </w:r>
      <w:r w:rsidR="001775F8" w:rsidRPr="00D0678C">
        <w:t xml:space="preserve">. </w:t>
      </w:r>
      <w:r w:rsidRPr="00D0678C">
        <w:t>Porém</w:t>
      </w:r>
      <w:r w:rsidR="001775F8" w:rsidRPr="00D0678C">
        <w:t>, esta condição geral é</w:t>
      </w:r>
      <w:r w:rsidRPr="00D0678C">
        <w:t xml:space="preserve"> transversal a todos os credores, a não ser que haja uma </w:t>
      </w:r>
      <w:r w:rsidRPr="00D0678C">
        <w:rPr>
          <w:i/>
        </w:rPr>
        <w:t>garantia especial</w:t>
      </w:r>
      <w:r w:rsidRPr="00D0678C">
        <w:t>, que assegure “de modo particula</w:t>
      </w:r>
      <w:r w:rsidR="001775F8" w:rsidRPr="00D0678C">
        <w:t>r o cumprimento das obrigações”</w:t>
      </w:r>
      <w:r w:rsidRPr="00D0678C">
        <w:rPr>
          <w:rStyle w:val="FootnoteReference"/>
        </w:rPr>
        <w:footnoteReference w:id="45"/>
      </w:r>
      <w:r w:rsidRPr="00D0678C">
        <w:t>.</w:t>
      </w:r>
      <w:r w:rsidRPr="00D0678C">
        <w:rPr>
          <w:i/>
        </w:rPr>
        <w:t xml:space="preserve"> </w:t>
      </w:r>
      <w:r w:rsidRPr="00D0678C">
        <w:t xml:space="preserve">  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t xml:space="preserve">Frequentemente as garantias gerais </w:t>
      </w:r>
      <w:proofErr w:type="gramStart"/>
      <w:r w:rsidRPr="00D0678C">
        <w:t>do devedor vão</w:t>
      </w:r>
      <w:proofErr w:type="gramEnd"/>
      <w:r w:rsidRPr="00D0678C">
        <w:t xml:space="preserve"> variando com o tempo, um risco relevante para o credor, o qual evita correr. Assim, a tutela dos seus créditos passa quase sempre pela constituição de garantias especiais.</w:t>
      </w:r>
    </w:p>
    <w:p w:rsidR="00F277A8" w:rsidRPr="00D0678C" w:rsidRDefault="00085230" w:rsidP="00D0678C">
      <w:pPr>
        <w:spacing w:line="360" w:lineRule="auto"/>
        <w:ind w:firstLine="708"/>
        <w:jc w:val="both"/>
        <w:rPr>
          <w:b/>
        </w:rPr>
      </w:pPr>
      <w:r w:rsidRPr="00D0678C">
        <w:rPr>
          <w:b/>
        </w:rPr>
        <w:t>3.1. Garantias</w:t>
      </w:r>
      <w:r w:rsidR="00F277A8" w:rsidRPr="00D0678C">
        <w:rPr>
          <w:b/>
        </w:rPr>
        <w:t xml:space="preserve"> Especiais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t xml:space="preserve">Numa </w:t>
      </w:r>
      <w:r w:rsidR="000866DC" w:rsidRPr="00D0678C">
        <w:t xml:space="preserve">curta </w:t>
      </w:r>
      <w:r w:rsidRPr="00D0678C">
        <w:t>tacada</w:t>
      </w:r>
      <w:r w:rsidR="000866DC" w:rsidRPr="00D0678C">
        <w:t>,</w:t>
      </w:r>
      <w:r w:rsidRPr="00D0678C">
        <w:t xml:space="preserve"> as garantias especiais dividem-se em </w:t>
      </w:r>
      <w:r w:rsidRPr="00D0678C">
        <w:rPr>
          <w:i/>
        </w:rPr>
        <w:t>pessoais</w:t>
      </w:r>
      <w:r w:rsidRPr="00D0678C">
        <w:t xml:space="preserve"> e </w:t>
      </w:r>
      <w:r w:rsidRPr="00D0678C">
        <w:rPr>
          <w:i/>
        </w:rPr>
        <w:t>reais</w:t>
      </w:r>
      <w:r w:rsidRPr="00D0678C">
        <w:t xml:space="preserve">: “através das </w:t>
      </w:r>
      <w:r w:rsidRPr="00D0678C">
        <w:rPr>
          <w:i/>
        </w:rPr>
        <w:t>garantias pessoais</w:t>
      </w:r>
      <w:r w:rsidRPr="00D0678C">
        <w:t xml:space="preserve"> o credor </w:t>
      </w:r>
      <w:r w:rsidR="00E86EEA" w:rsidRPr="00D0678C">
        <w:t>adquire</w:t>
      </w:r>
      <w:r w:rsidRPr="00D0678C">
        <w:t xml:space="preserve"> o direito de executar o património de um terceiro; através das </w:t>
      </w:r>
      <w:r w:rsidRPr="00D0678C">
        <w:rPr>
          <w:i/>
        </w:rPr>
        <w:t>garantias reais</w:t>
      </w:r>
      <w:r w:rsidRPr="00D0678C">
        <w:t xml:space="preserve">, o credor </w:t>
      </w:r>
      <w:r w:rsidR="00E86EEA" w:rsidRPr="00D0678C">
        <w:t>adquire</w:t>
      </w:r>
      <w:r w:rsidRPr="00D0678C">
        <w:t xml:space="preserve"> o direito de se fazer </w:t>
      </w:r>
      <w:r w:rsidR="00E86EEA" w:rsidRPr="00D0678C">
        <w:t>pagar</w:t>
      </w:r>
      <w:r w:rsidRPr="00D0678C">
        <w:t xml:space="preserve"> com </w:t>
      </w:r>
      <w:r w:rsidR="00E86EEA" w:rsidRPr="00D0678C">
        <w:t>preferência</w:t>
      </w:r>
      <w:r w:rsidRPr="00D0678C">
        <w:t xml:space="preserve"> sobre os credores comuns, pelo valor ou pelos rendimentos dos </w:t>
      </w:r>
      <w:r w:rsidR="000866DC" w:rsidRPr="00D0678C">
        <w:t>bens do devedor ou de terceiro”</w:t>
      </w:r>
      <w:r w:rsidRPr="00D0678C">
        <w:rPr>
          <w:rStyle w:val="FootnoteReference"/>
        </w:rPr>
        <w:footnoteReference w:id="46"/>
      </w:r>
      <w:r w:rsidRPr="00D0678C">
        <w:t xml:space="preserve"> </w:t>
      </w:r>
      <w:r w:rsidR="000866DC" w:rsidRPr="00D0678C">
        <w:t>.</w:t>
      </w:r>
      <w:r w:rsidRPr="00D0678C">
        <w:t xml:space="preserve"> </w:t>
      </w:r>
    </w:p>
    <w:p w:rsidR="00F277A8" w:rsidRPr="00D0678C" w:rsidRDefault="00085230" w:rsidP="00D0678C">
      <w:pPr>
        <w:spacing w:line="360" w:lineRule="auto"/>
        <w:ind w:firstLine="708"/>
        <w:jc w:val="both"/>
        <w:rPr>
          <w:b/>
        </w:rPr>
      </w:pPr>
      <w:r w:rsidRPr="00D0678C">
        <w:rPr>
          <w:b/>
        </w:rPr>
        <w:t>3.</w:t>
      </w:r>
      <w:r w:rsidR="000866DC" w:rsidRPr="00D0678C">
        <w:rPr>
          <w:b/>
        </w:rPr>
        <w:t>1</w:t>
      </w:r>
      <w:r w:rsidR="00AE0FDC" w:rsidRPr="00D0678C">
        <w:rPr>
          <w:b/>
        </w:rPr>
        <w:t>.2</w:t>
      </w:r>
      <w:r w:rsidR="000866DC" w:rsidRPr="00D0678C">
        <w:rPr>
          <w:b/>
        </w:rPr>
        <w:t>.</w:t>
      </w:r>
      <w:r w:rsidRPr="00D0678C">
        <w:rPr>
          <w:b/>
        </w:rPr>
        <w:t xml:space="preserve"> </w:t>
      </w:r>
      <w:r w:rsidR="00F277A8" w:rsidRPr="00D0678C">
        <w:rPr>
          <w:b/>
        </w:rPr>
        <w:t xml:space="preserve">Hipoteca 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t xml:space="preserve">A hipoteca consiste numa </w:t>
      </w:r>
      <w:r w:rsidRPr="00D0678C">
        <w:rPr>
          <w:i/>
        </w:rPr>
        <w:t>garantia especial real</w:t>
      </w:r>
      <w:r w:rsidRPr="00D0678C">
        <w:t xml:space="preserve">, uma vez que dela resulta para o credor hipotecário a constituição de um </w:t>
      </w:r>
      <w:r w:rsidRPr="00D0678C">
        <w:rPr>
          <w:i/>
        </w:rPr>
        <w:t>direito real de garantia</w:t>
      </w:r>
      <w:r w:rsidRPr="00D0678C">
        <w:t xml:space="preserve"> sobre os bens hipotecados, nos termos do qual ele adquire o direito de se </w:t>
      </w:r>
      <w:r w:rsidR="00DA0900" w:rsidRPr="00D0678C">
        <w:t xml:space="preserve">fazer </w:t>
      </w:r>
      <w:r w:rsidRPr="00D0678C">
        <w:t xml:space="preserve">pagar preferencialmente pelo produto da venda destes mesmos bens. 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lastRenderedPageBreak/>
        <w:t xml:space="preserve">Quanto ao </w:t>
      </w:r>
      <w:proofErr w:type="spellStart"/>
      <w:r w:rsidR="00E86EEA" w:rsidRPr="00D0678C">
        <w:rPr>
          <w:i/>
        </w:rPr>
        <w:t>objecto</w:t>
      </w:r>
      <w:proofErr w:type="spellEnd"/>
      <w:r w:rsidRPr="00D0678C">
        <w:t xml:space="preserve"> da hipoteca, esta</w:t>
      </w:r>
      <w:r w:rsidR="00E87D4C" w:rsidRPr="00D0678C">
        <w:t xml:space="preserve"> incide sobre bens imoveis ou móveis sujeitos a registo.</w:t>
      </w:r>
      <w:r w:rsidRPr="00D0678C">
        <w:t xml:space="preserve"> </w:t>
      </w:r>
      <w:r w:rsidR="00E87D4C" w:rsidRPr="00D0678C">
        <w:t>A</w:t>
      </w:r>
      <w:r w:rsidRPr="00D0678C">
        <w:t xml:space="preserve"> hipoteca deve ser registada sobre pena de insuficiência</w:t>
      </w:r>
      <w:r w:rsidR="00E87D4C" w:rsidRPr="00D0678C">
        <w:t>,</w:t>
      </w:r>
      <w:r w:rsidRPr="00D0678C">
        <w:t xml:space="preserve"> inclusive em relação às partes (</w:t>
      </w:r>
      <w:proofErr w:type="spellStart"/>
      <w:r w:rsidRPr="00D0678C">
        <w:t>art</w:t>
      </w:r>
      <w:proofErr w:type="spellEnd"/>
      <w:r w:rsidRPr="00D0678C">
        <w:t>. 687º CC) ou mesmo inexistente (</w:t>
      </w:r>
      <w:proofErr w:type="spellStart"/>
      <w:r w:rsidRPr="00D0678C">
        <w:t>art</w:t>
      </w:r>
      <w:proofErr w:type="spellEnd"/>
      <w:r w:rsidRPr="00D0678C">
        <w:t>. 704º e 710º do CC)</w:t>
      </w:r>
      <w:r w:rsidRPr="00D0678C">
        <w:rPr>
          <w:rStyle w:val="FootnoteReference"/>
        </w:rPr>
        <w:footnoteReference w:id="47"/>
      </w:r>
      <w:r w:rsidRPr="00D0678C">
        <w:t>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Ao contrário do penhor, o bem hipotecado não é </w:t>
      </w:r>
      <w:r w:rsidRPr="00D0678C">
        <w:rPr>
          <w:i/>
        </w:rPr>
        <w:t>desapossado</w:t>
      </w:r>
      <w:r w:rsidRPr="00D0678C">
        <w:t xml:space="preserve"> do autor da garantia, segundo advoga </w:t>
      </w:r>
      <w:r w:rsidR="00DA0900" w:rsidRPr="00D0678C">
        <w:rPr>
          <w:smallCaps/>
        </w:rPr>
        <w:t>Almeida Costa</w:t>
      </w:r>
      <w:r w:rsidRPr="00D0678C">
        <w:t>, esta característica resulta d</w:t>
      </w:r>
      <w:r w:rsidR="00DA0900" w:rsidRPr="00D0678C">
        <w:t>o facto dos bens sobre que recaem</w:t>
      </w:r>
      <w:r w:rsidRPr="00D0678C">
        <w:t xml:space="preserve"> não poderem ser fa</w:t>
      </w:r>
      <w:r w:rsidR="008B3BB2" w:rsidRPr="00D0678C">
        <w:t>cilmente ocultados ou sonegados</w:t>
      </w:r>
      <w:r w:rsidRPr="00D0678C">
        <w:rPr>
          <w:rStyle w:val="FootnoteReference"/>
        </w:rPr>
        <w:footnoteReference w:id="48"/>
      </w:r>
      <w:r w:rsidRPr="00D0678C">
        <w:t xml:space="preserve">.  </w:t>
      </w:r>
    </w:p>
    <w:p w:rsidR="00F277A8" w:rsidRPr="00D0678C" w:rsidRDefault="00F277A8" w:rsidP="00D0678C">
      <w:pPr>
        <w:autoSpaceDE w:val="0"/>
        <w:autoSpaceDN w:val="0"/>
        <w:adjustRightInd w:val="0"/>
        <w:spacing w:after="0" w:line="360" w:lineRule="auto"/>
        <w:jc w:val="both"/>
      </w:pPr>
      <w:r w:rsidRPr="00D0678C">
        <w:tab/>
        <w:t xml:space="preserve">Uma outra nota caracterizadora da hipoteca é </w:t>
      </w:r>
      <w:proofErr w:type="spellStart"/>
      <w:r w:rsidRPr="00D0678C">
        <w:rPr>
          <w:i/>
        </w:rPr>
        <w:t>acessoriedade</w:t>
      </w:r>
      <w:proofErr w:type="spellEnd"/>
      <w:r w:rsidR="008B3BB2" w:rsidRPr="00D0678C">
        <w:t>:</w:t>
      </w:r>
      <w:r w:rsidRPr="00D0678C">
        <w:t xml:space="preserve"> extingue-se com o cumprimento da obrigação. Ao invés, se o devedor incumprir a sua obrigação, o beneficiário da hipoteca pode satisfazer o seu crédito com o produto obtido pela venda, em processo executivo, do bem penhorado, tendo </w:t>
      </w:r>
      <w:r w:rsidRPr="00D0678C">
        <w:rPr>
          <w:i/>
        </w:rPr>
        <w:t>preferência</w:t>
      </w:r>
      <w:r w:rsidRPr="00D0678C">
        <w:t xml:space="preserve"> sobre os credores comuns.</w:t>
      </w:r>
      <w:r w:rsidR="00CA7734" w:rsidRPr="00D0678C">
        <w:t xml:space="preserve"> Assim, e como ensina </w:t>
      </w:r>
      <w:r w:rsidR="00CC241B" w:rsidRPr="00D0678C">
        <w:rPr>
          <w:smallCaps/>
        </w:rPr>
        <w:t>Isabel Menéres Campos</w:t>
      </w:r>
      <w:r w:rsidR="00CA7734" w:rsidRPr="00D0678C">
        <w:t>, “</w:t>
      </w:r>
      <w:proofErr w:type="gramStart"/>
      <w:r w:rsidR="00CA7734" w:rsidRPr="00D0678C">
        <w:t>[a</w:t>
      </w:r>
      <w:proofErr w:type="gramEnd"/>
      <w:r w:rsidR="00CA7734" w:rsidRPr="00D0678C">
        <w:t xml:space="preserve">] função da hipoteca é, justamente, tornar mais segura a tutela do crédito, reforçando a garantia genérica </w:t>
      </w:r>
      <w:r w:rsidR="00DA0900" w:rsidRPr="00D0678C">
        <w:t>q</w:t>
      </w:r>
      <w:r w:rsidR="00CA7734" w:rsidRPr="00D0678C">
        <w:t xml:space="preserve">ue representa todo o </w:t>
      </w:r>
      <w:r w:rsidR="00DA0900" w:rsidRPr="00D0678C">
        <w:t>património do devedor, sendo um</w:t>
      </w:r>
      <w:r w:rsidR="00CA7734" w:rsidRPr="00D0678C">
        <w:t>a</w:t>
      </w:r>
      <w:r w:rsidR="00DA0900" w:rsidRPr="00D0678C">
        <w:t xml:space="preserve"> </w:t>
      </w:r>
      <w:r w:rsidR="00CA7734" w:rsidRPr="00D0678C">
        <w:t xml:space="preserve">figura que </w:t>
      </w:r>
      <w:proofErr w:type="spellStart"/>
      <w:r w:rsidR="00CA7734" w:rsidRPr="00D0678C">
        <w:t>actua</w:t>
      </w:r>
      <w:proofErr w:type="spellEnd"/>
      <w:r w:rsidR="00CA7734" w:rsidRPr="00D0678C">
        <w:t xml:space="preserve"> sobretudo na fase de execução da divida”</w:t>
      </w:r>
      <w:r w:rsidR="00CA7734" w:rsidRPr="00D0678C">
        <w:rPr>
          <w:rStyle w:val="FootnoteReference"/>
        </w:rPr>
        <w:footnoteReference w:id="49"/>
      </w:r>
      <w:r w:rsidR="00CA7734" w:rsidRPr="00D0678C">
        <w:t>.</w:t>
      </w:r>
    </w:p>
    <w:p w:rsidR="00F277A8" w:rsidRPr="00D0678C" w:rsidRDefault="008B3BB2" w:rsidP="00D0678C">
      <w:pPr>
        <w:spacing w:line="360" w:lineRule="auto"/>
        <w:jc w:val="both"/>
      </w:pPr>
      <w:r w:rsidRPr="00D0678C">
        <w:tab/>
        <w:t>A nossa lei</w:t>
      </w:r>
      <w:r w:rsidR="00F277A8" w:rsidRPr="00D0678C">
        <w:rPr>
          <w:rStyle w:val="FootnoteReference"/>
        </w:rPr>
        <w:footnoteReference w:id="50"/>
      </w:r>
      <w:r w:rsidR="00F277A8" w:rsidRPr="00D0678C">
        <w:t xml:space="preserve"> prevê hipotecas de três </w:t>
      </w:r>
      <w:r w:rsidR="00DA0900" w:rsidRPr="00D0678C">
        <w:t>tipos</w:t>
      </w:r>
      <w:r w:rsidR="00F277A8" w:rsidRPr="00D0678C">
        <w:t xml:space="preserve">, consoante os </w:t>
      </w:r>
      <w:proofErr w:type="spellStart"/>
      <w:r w:rsidR="00E86EEA" w:rsidRPr="00D0678C">
        <w:t>respectivos</w:t>
      </w:r>
      <w:proofErr w:type="spellEnd"/>
      <w:r w:rsidR="00F277A8" w:rsidRPr="00D0678C">
        <w:t xml:space="preserve"> títulos de cons</w:t>
      </w:r>
      <w:r w:rsidRPr="00D0678C">
        <w:t>tituição, assim de rajada:</w:t>
      </w:r>
      <w:r w:rsidR="00F277A8" w:rsidRPr="00D0678C">
        <w:t xml:space="preserve"> </w:t>
      </w:r>
      <w:r w:rsidRPr="00D0678C">
        <w:rPr>
          <w:i/>
        </w:rPr>
        <w:t>(i)</w:t>
      </w:r>
      <w:r w:rsidRPr="00D0678C">
        <w:t xml:space="preserve"> </w:t>
      </w:r>
      <w:r w:rsidR="00F277A8" w:rsidRPr="00D0678C">
        <w:t xml:space="preserve">as hipotecas </w:t>
      </w:r>
      <w:r w:rsidR="00F277A8" w:rsidRPr="00D0678C">
        <w:rPr>
          <w:i/>
        </w:rPr>
        <w:t>legais</w:t>
      </w:r>
      <w:r w:rsidR="00F277A8" w:rsidRPr="00D0678C">
        <w:t xml:space="preserve"> </w:t>
      </w:r>
      <w:r w:rsidRPr="00D0678C">
        <w:t>–</w:t>
      </w:r>
      <w:r w:rsidR="00F277A8" w:rsidRPr="00D0678C">
        <w:t xml:space="preserve"> res</w:t>
      </w:r>
      <w:r w:rsidRPr="00D0678C">
        <w:t>ultam imediatamente da lei, sem</w:t>
      </w:r>
      <w:r w:rsidR="00F277A8" w:rsidRPr="00D0678C">
        <w:t xml:space="preserve"> que seja necessário a vontade das partes (</w:t>
      </w:r>
      <w:proofErr w:type="spellStart"/>
      <w:r w:rsidR="00F277A8" w:rsidRPr="00D0678C">
        <w:t>art</w:t>
      </w:r>
      <w:proofErr w:type="spellEnd"/>
      <w:r w:rsidR="00F277A8" w:rsidRPr="00D0678C">
        <w:t>. 704 do CC);</w:t>
      </w:r>
      <w:r w:rsidRPr="00D0678C">
        <w:t xml:space="preserve"> </w:t>
      </w:r>
      <w:r w:rsidRPr="00D0678C">
        <w:rPr>
          <w:i/>
        </w:rPr>
        <w:t>(</w:t>
      </w:r>
      <w:proofErr w:type="spellStart"/>
      <w:r w:rsidRPr="00D0678C">
        <w:rPr>
          <w:i/>
        </w:rPr>
        <w:t>ii</w:t>
      </w:r>
      <w:proofErr w:type="spellEnd"/>
      <w:r w:rsidRPr="00D0678C">
        <w:rPr>
          <w:i/>
        </w:rPr>
        <w:t>)</w:t>
      </w:r>
      <w:r w:rsidR="00F277A8" w:rsidRPr="00D0678C">
        <w:t xml:space="preserve"> </w:t>
      </w:r>
      <w:proofErr w:type="gramStart"/>
      <w:r w:rsidR="00F277A8" w:rsidRPr="00D0678C">
        <w:t>a</w:t>
      </w:r>
      <w:r w:rsidRPr="00D0678C">
        <w:t>s</w:t>
      </w:r>
      <w:r w:rsidR="00F277A8" w:rsidRPr="00D0678C">
        <w:t xml:space="preserve"> hipoteca</w:t>
      </w:r>
      <w:r w:rsidRPr="00D0678C">
        <w:t xml:space="preserve">s </w:t>
      </w:r>
      <w:r w:rsidRPr="00D0678C">
        <w:rPr>
          <w:i/>
        </w:rPr>
        <w:t>judiciais</w:t>
      </w:r>
      <w:r w:rsidR="00F277A8" w:rsidRPr="00D0678C">
        <w:rPr>
          <w:rStyle w:val="FootnoteReference"/>
        </w:rPr>
        <w:footnoteReference w:id="51"/>
      </w:r>
      <w:r w:rsidRPr="00D0678C">
        <w:t xml:space="preserve"> – </w:t>
      </w:r>
      <w:r w:rsidR="00F277A8" w:rsidRPr="00D0678C">
        <w:t>tem</w:t>
      </w:r>
      <w:proofErr w:type="gramEnd"/>
      <w:r w:rsidR="00F277A8" w:rsidRPr="00D0678C">
        <w:t xml:space="preserve"> como fundamento uma decisão judicial (art.710º do CC); </w:t>
      </w:r>
      <w:r w:rsidRPr="00D0678C">
        <w:t xml:space="preserve">e </w:t>
      </w:r>
      <w:r w:rsidRPr="00D0678C">
        <w:rPr>
          <w:i/>
        </w:rPr>
        <w:t>(</w:t>
      </w:r>
      <w:proofErr w:type="spellStart"/>
      <w:r w:rsidRPr="00D0678C">
        <w:rPr>
          <w:i/>
        </w:rPr>
        <w:t>iii</w:t>
      </w:r>
      <w:proofErr w:type="spellEnd"/>
      <w:r w:rsidRPr="00D0678C">
        <w:rPr>
          <w:i/>
        </w:rPr>
        <w:t>)</w:t>
      </w:r>
      <w:r w:rsidRPr="00D0678C">
        <w:t xml:space="preserve"> as</w:t>
      </w:r>
      <w:r w:rsidR="00F277A8" w:rsidRPr="00D0678C">
        <w:t xml:space="preserve"> hipoteca</w:t>
      </w:r>
      <w:r w:rsidRPr="00D0678C">
        <w:t>s</w:t>
      </w:r>
      <w:r w:rsidR="00F277A8" w:rsidRPr="00D0678C">
        <w:t xml:space="preserve"> </w:t>
      </w:r>
      <w:r w:rsidR="00F277A8" w:rsidRPr="00D0678C">
        <w:rPr>
          <w:i/>
        </w:rPr>
        <w:t>voluntária</w:t>
      </w:r>
      <w:r w:rsidRPr="00D0678C">
        <w:rPr>
          <w:i/>
        </w:rPr>
        <w:t>s</w:t>
      </w:r>
      <w:r w:rsidR="00F277A8" w:rsidRPr="00D0678C">
        <w:t xml:space="preserve"> </w:t>
      </w:r>
      <w:r w:rsidRPr="00D0678C">
        <w:t xml:space="preserve">– </w:t>
      </w:r>
      <w:r w:rsidR="00F277A8" w:rsidRPr="00D0678C">
        <w:t xml:space="preserve">que nascem de </w:t>
      </w:r>
      <w:r w:rsidR="00F277A8" w:rsidRPr="00D0678C">
        <w:rPr>
          <w:i/>
        </w:rPr>
        <w:t>contratos</w:t>
      </w:r>
      <w:r w:rsidR="00F277A8" w:rsidRPr="00D0678C">
        <w:t xml:space="preserve"> ou </w:t>
      </w:r>
      <w:r w:rsidR="00F277A8" w:rsidRPr="00D0678C">
        <w:rPr>
          <w:i/>
        </w:rPr>
        <w:t>negócios</w:t>
      </w:r>
      <w:r w:rsidR="00F277A8" w:rsidRPr="00D0678C">
        <w:t xml:space="preserve"> jurídicos unilaterais (art.712 do CC).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Das três espécies enumeradas a que nos mais interessa é a hipoteca </w:t>
      </w:r>
      <w:r w:rsidRPr="00D0678C">
        <w:rPr>
          <w:i/>
        </w:rPr>
        <w:t>voluntária</w:t>
      </w:r>
      <w:r w:rsidRPr="00D0678C">
        <w:t>, não só por ser a mais comum, mas também por nascer ou de um negócio jurídic</w:t>
      </w:r>
      <w:r w:rsidR="00DA0900" w:rsidRPr="00D0678C">
        <w:t>o unilateral</w:t>
      </w:r>
      <w:r w:rsidR="008B3BB2" w:rsidRPr="00D0678C">
        <w:t xml:space="preserve"> ou de um contrato</w:t>
      </w:r>
      <w:r w:rsidRPr="00D0678C">
        <w:rPr>
          <w:rStyle w:val="FootnoteReference"/>
        </w:rPr>
        <w:footnoteReference w:id="52"/>
      </w:r>
      <w:r w:rsidRPr="00D0678C">
        <w:t>.</w:t>
      </w:r>
      <w:r w:rsidR="008B3BB2" w:rsidRPr="00D0678C">
        <w:t xml:space="preserve"> </w:t>
      </w:r>
      <w:r w:rsidRPr="00D0678C">
        <w:t xml:space="preserve">Pelo seu relevo prático e pela importância que desempenha </w:t>
      </w:r>
      <w:r w:rsidR="00E86EEA" w:rsidRPr="00D0678C">
        <w:t>neste</w:t>
      </w:r>
      <w:r w:rsidRPr="00D0678C">
        <w:t xml:space="preserve"> escrito, dedicamos-lhe algumas linhas. 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lastRenderedPageBreak/>
        <w:t xml:space="preserve">Quando a hipoteca </w:t>
      </w:r>
      <w:r w:rsidRPr="00D0678C">
        <w:rPr>
          <w:i/>
        </w:rPr>
        <w:t>voluntária</w:t>
      </w:r>
      <w:r w:rsidRPr="00D0678C">
        <w:t xml:space="preserve"> recair sobre imóveis exige-se que a sua constituição ou modificação se realize mediante escritura pública, testamento ou d</w:t>
      </w:r>
      <w:r w:rsidR="008B3BB2" w:rsidRPr="00D0678C">
        <w:t>ocumento particular autenticado</w:t>
      </w:r>
      <w:r w:rsidRPr="00D0678C">
        <w:rPr>
          <w:rStyle w:val="FootnoteReference"/>
        </w:rPr>
        <w:footnoteReference w:id="53"/>
      </w:r>
      <w:r w:rsidRPr="00D0678C">
        <w:t>.</w:t>
      </w:r>
      <w:r w:rsidR="008B3BB2" w:rsidRPr="00D0678C">
        <w:t xml:space="preserve"> </w:t>
      </w:r>
      <w:r w:rsidRPr="00D0678C">
        <w:t>A hipoteca pode ser constituída pelo devedor ou por terceiro</w:t>
      </w:r>
      <w:r w:rsidR="008B3BB2" w:rsidRPr="00D0678C">
        <w:t xml:space="preserve"> (art.717º </w:t>
      </w:r>
      <w:r w:rsidR="00E86EEA" w:rsidRPr="00D0678C">
        <w:t>C</w:t>
      </w:r>
      <w:r w:rsidR="00DA0900" w:rsidRPr="00D0678C">
        <w:t>C), contudo</w:t>
      </w:r>
      <w:r w:rsidR="00E86EEA" w:rsidRPr="00D0678C">
        <w:t xml:space="preserve"> nos negócios</w:t>
      </w:r>
      <w:r w:rsidRPr="00D0678C">
        <w:t xml:space="preserve"> jurídico de oneração de bens, só tem legitimidade para a constituição da hipoteca quem </w:t>
      </w:r>
      <w:r w:rsidR="00DA0900" w:rsidRPr="00D0678C">
        <w:t xml:space="preserve">tiver </w:t>
      </w:r>
      <w:r w:rsidRPr="00D0678C">
        <w:t xml:space="preserve">poder de disposição </w:t>
      </w:r>
      <w:r w:rsidR="008B3BB2" w:rsidRPr="00D0678C">
        <w:t>sobre os bens</w:t>
      </w:r>
      <w:r w:rsidRPr="00D0678C">
        <w:rPr>
          <w:rStyle w:val="FootnoteReference"/>
        </w:rPr>
        <w:footnoteReference w:id="54"/>
      </w:r>
      <w:r w:rsidR="008B3BB2" w:rsidRPr="00D0678C">
        <w:t xml:space="preserve">. </w:t>
      </w:r>
      <w:r w:rsidRPr="00D0678C">
        <w:t>A existência de hipoteca sobre um determinado bem não impede que sobre esse mesmo bem seja c</w:t>
      </w:r>
      <w:r w:rsidR="008B3BB2" w:rsidRPr="00D0678C">
        <w:t>onstituída uma segunda hipoteca</w:t>
      </w:r>
      <w:r w:rsidRPr="00D0678C">
        <w:rPr>
          <w:rStyle w:val="FootnoteReference"/>
        </w:rPr>
        <w:footnoteReference w:id="55"/>
      </w:r>
      <w:r w:rsidRPr="00D0678C">
        <w:t xml:space="preserve">. </w:t>
      </w:r>
    </w:p>
    <w:p w:rsidR="00F277A8" w:rsidRPr="00D0678C" w:rsidRDefault="008B3BB2" w:rsidP="00D0678C">
      <w:pPr>
        <w:spacing w:line="360" w:lineRule="auto"/>
        <w:jc w:val="both"/>
      </w:pPr>
      <w:r w:rsidRPr="00D0678C">
        <w:tab/>
      </w:r>
      <w:r w:rsidR="00F277A8" w:rsidRPr="00D0678C">
        <w:t>A hipoteca a</w:t>
      </w:r>
      <w:r w:rsidR="00CA7734" w:rsidRPr="00D0678C">
        <w:t>ssegura o crédito, mas também</w:t>
      </w:r>
      <w:r w:rsidR="00F277A8" w:rsidRPr="00D0678C">
        <w:t xml:space="preserve"> seus </w:t>
      </w:r>
      <w:r w:rsidR="00F277A8" w:rsidRPr="00D0678C">
        <w:rPr>
          <w:i/>
        </w:rPr>
        <w:t>acessórios</w:t>
      </w:r>
      <w:r w:rsidR="00CA7734" w:rsidRPr="00D0678C">
        <w:t xml:space="preserve"> que constem do registo: </w:t>
      </w:r>
      <w:r w:rsidR="00F277A8" w:rsidRPr="00D0678C">
        <w:t>os juros, as despesas de registo e constituição da hipoteca e a cláusula penal (</w:t>
      </w:r>
      <w:proofErr w:type="spellStart"/>
      <w:r w:rsidR="00F277A8" w:rsidRPr="00D0678C">
        <w:t>art</w:t>
      </w:r>
      <w:proofErr w:type="spellEnd"/>
      <w:r w:rsidR="00F277A8" w:rsidRPr="00D0678C">
        <w:t xml:space="preserve">. 96.º, nº 1, </w:t>
      </w:r>
      <w:r w:rsidR="00F277A8" w:rsidRPr="00D0678C">
        <w:rPr>
          <w:i/>
        </w:rPr>
        <w:t>a)</w:t>
      </w:r>
      <w:r w:rsidR="00F277A8" w:rsidRPr="00D0678C">
        <w:t xml:space="preserve"> </w:t>
      </w:r>
      <w:proofErr w:type="spellStart"/>
      <w:r w:rsidR="00F277A8" w:rsidRPr="00D0678C">
        <w:t>CRP</w:t>
      </w:r>
      <w:r w:rsidR="00CA7734" w:rsidRPr="00D0678C">
        <w:t>re</w:t>
      </w:r>
      <w:proofErr w:type="spellEnd"/>
      <w:r w:rsidR="00CA7734" w:rsidRPr="00D0678C">
        <w:t>.</w:t>
      </w:r>
      <w:r w:rsidR="00F277A8" w:rsidRPr="00D0678C">
        <w:t>). No caso dos juros</w:t>
      </w:r>
      <w:r w:rsidR="00CA7734" w:rsidRPr="00D0678C">
        <w:t>,</w:t>
      </w:r>
      <w:r w:rsidR="00F277A8" w:rsidRPr="00D0678C">
        <w:t xml:space="preserve"> e salvo cláusula em contrário</w:t>
      </w:r>
      <w:r w:rsidR="00CA7734" w:rsidRPr="00D0678C">
        <w:t>,</w:t>
      </w:r>
      <w:r w:rsidR="00F277A8" w:rsidRPr="00D0678C">
        <w:t xml:space="preserve"> a hipoteca apenas abrange os juros relativos a três anos. No entanto</w:t>
      </w:r>
      <w:r w:rsidR="00CA7734" w:rsidRPr="00D0678C">
        <w:t>,</w:t>
      </w:r>
      <w:r w:rsidR="00F277A8" w:rsidRPr="00D0678C">
        <w:t xml:space="preserve"> é possível o registo de nova hipoteca relativamente aos juros em dívida que excedam os referidos três anos (</w:t>
      </w:r>
      <w:proofErr w:type="spellStart"/>
      <w:r w:rsidR="00F277A8" w:rsidRPr="00D0678C">
        <w:t>art</w:t>
      </w:r>
      <w:proofErr w:type="spellEnd"/>
      <w:r w:rsidR="00F277A8" w:rsidRPr="00D0678C">
        <w:t>. 693.º CC).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Um outro </w:t>
      </w:r>
      <w:proofErr w:type="spellStart"/>
      <w:r w:rsidR="00E86EEA" w:rsidRPr="00D0678C">
        <w:t>aspecto</w:t>
      </w:r>
      <w:proofErr w:type="spellEnd"/>
      <w:r w:rsidRPr="00D0678C">
        <w:t xml:space="preserve"> da hipoteca voluntária, que pretendemos destacar, é a proibição do </w:t>
      </w:r>
      <w:r w:rsidRPr="00D0678C">
        <w:rPr>
          <w:i/>
        </w:rPr>
        <w:t>pacto comissório</w:t>
      </w:r>
      <w:r w:rsidRPr="00D0678C">
        <w:t xml:space="preserve">. Esta questão merece da nossa parte algum enfase, pois as respostas que </w:t>
      </w:r>
      <w:proofErr w:type="gramStart"/>
      <w:r w:rsidRPr="00D0678C">
        <w:t>procuramos</w:t>
      </w:r>
      <w:proofErr w:type="gramEnd"/>
      <w:r w:rsidRPr="00D0678C">
        <w:t xml:space="preserve"> </w:t>
      </w:r>
      <w:proofErr w:type="gramStart"/>
      <w:r w:rsidRPr="00D0678C">
        <w:t>dependem</w:t>
      </w:r>
      <w:proofErr w:type="gramEnd"/>
      <w:r w:rsidRPr="00D0678C">
        <w:t xml:space="preserve"> de uma refl</w:t>
      </w:r>
      <w:r w:rsidR="00CA7734" w:rsidRPr="00D0678C">
        <w:t xml:space="preserve">exão séria e adequada sobre esta </w:t>
      </w:r>
      <w:r w:rsidR="005F271F" w:rsidRPr="00D0678C">
        <w:t>“regra sábia e experimentada, firme na cultura [jurídica] do Ocidente há mais de dezassete séculos e que não pode ser tratada displicentemente”</w:t>
      </w:r>
      <w:r w:rsidR="005F271F" w:rsidRPr="00D0678C">
        <w:rPr>
          <w:rStyle w:val="FootnoteReference"/>
        </w:rPr>
        <w:footnoteReference w:id="56"/>
      </w:r>
      <w:r w:rsidR="005F271F" w:rsidRPr="00D0678C">
        <w:t>.</w:t>
      </w:r>
    </w:p>
    <w:p w:rsidR="00F277A8" w:rsidRPr="00D0678C" w:rsidRDefault="00F277A8" w:rsidP="00D0678C">
      <w:pPr>
        <w:spacing w:line="360" w:lineRule="auto"/>
        <w:jc w:val="both"/>
        <w:rPr>
          <w:b/>
        </w:rPr>
      </w:pPr>
      <w:r w:rsidRPr="00D0678C">
        <w:tab/>
      </w:r>
      <w:r w:rsidR="005F271F" w:rsidRPr="00D0678C">
        <w:rPr>
          <w:b/>
        </w:rPr>
        <w:t>3.</w:t>
      </w:r>
      <w:r w:rsidR="00AE0FDC" w:rsidRPr="00D0678C">
        <w:rPr>
          <w:b/>
        </w:rPr>
        <w:t>1</w:t>
      </w:r>
      <w:r w:rsidR="005F271F" w:rsidRPr="00D0678C">
        <w:rPr>
          <w:b/>
        </w:rPr>
        <w:t>.</w:t>
      </w:r>
      <w:r w:rsidR="00AE0FDC" w:rsidRPr="00D0678C">
        <w:rPr>
          <w:b/>
        </w:rPr>
        <w:t>2</w:t>
      </w:r>
      <w:r w:rsidR="005F271F" w:rsidRPr="00D0678C">
        <w:rPr>
          <w:b/>
        </w:rPr>
        <w:t>.1.</w:t>
      </w:r>
      <w:r w:rsidR="005F271F" w:rsidRPr="00D0678C">
        <w:t xml:space="preserve"> </w:t>
      </w:r>
      <w:r w:rsidRPr="00D0678C">
        <w:rPr>
          <w:b/>
        </w:rPr>
        <w:t>Proibição do pacto comissório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 Como bem aponta </w:t>
      </w:r>
      <w:r w:rsidRPr="00D0678C">
        <w:rPr>
          <w:smallCaps/>
        </w:rPr>
        <w:t>Henrique Mesquita</w:t>
      </w:r>
      <w:r w:rsidRPr="00D0678C">
        <w:t>, “o poder que o titular da garantia dispõem é, tão-somente, o de des</w:t>
      </w:r>
      <w:r w:rsidR="005F271F" w:rsidRPr="00D0678C">
        <w:t>en</w:t>
      </w:r>
      <w:r w:rsidRPr="00D0678C">
        <w:t>ca</w:t>
      </w:r>
      <w:r w:rsidR="005F271F" w:rsidRPr="00D0678C">
        <w:t>dear a venda judicial da coisa […]</w:t>
      </w:r>
      <w:r w:rsidRPr="00D0678C">
        <w:t xml:space="preserve"> não é, por isso, inteiramente </w:t>
      </w:r>
      <w:proofErr w:type="spellStart"/>
      <w:r w:rsidR="00E86EEA" w:rsidRPr="00D0678C">
        <w:t>exacto</w:t>
      </w:r>
      <w:proofErr w:type="spellEnd"/>
      <w:r w:rsidRPr="00D0678C">
        <w:t xml:space="preserve"> </w:t>
      </w:r>
      <w:r w:rsidR="005F271F" w:rsidRPr="00D0678C">
        <w:t>[…]</w:t>
      </w:r>
      <w:r w:rsidRPr="00D0678C">
        <w:t xml:space="preserve"> o entendimento que os direitos reais de garantia atribuem ao titular o poder de dis</w:t>
      </w:r>
      <w:r w:rsidR="005F271F" w:rsidRPr="00D0678C">
        <w:t>por da coisa sobre que incidem”</w:t>
      </w:r>
      <w:r w:rsidRPr="00D0678C">
        <w:rPr>
          <w:rStyle w:val="FootnoteReference"/>
        </w:rPr>
        <w:footnoteReference w:id="57"/>
      </w:r>
      <w:r w:rsidRPr="00D0678C">
        <w:t xml:space="preserve">. Assim, a </w:t>
      </w:r>
      <w:r w:rsidR="00E86EEA" w:rsidRPr="00D0678C">
        <w:t>convenção</w:t>
      </w:r>
      <w:r w:rsidRPr="00D0678C">
        <w:t xml:space="preserve"> mediante a qual o credor faz sua a coisa hipotecada, em caso de </w:t>
      </w:r>
      <w:r w:rsidR="00E86EEA" w:rsidRPr="00D0678C">
        <w:t>incumprimento</w:t>
      </w:r>
      <w:r w:rsidRPr="00D0678C">
        <w:t xml:space="preserve">, é </w:t>
      </w:r>
      <w:r w:rsidRPr="00D0678C">
        <w:rPr>
          <w:i/>
        </w:rPr>
        <w:t>nula</w:t>
      </w:r>
      <w:r w:rsidRPr="00D0678C">
        <w:rPr>
          <w:rStyle w:val="FootnoteReference"/>
        </w:rPr>
        <w:footnoteReference w:id="58"/>
      </w:r>
      <w:r w:rsidRPr="00D0678C">
        <w:t xml:space="preserve">. Esta consequência </w:t>
      </w:r>
      <w:proofErr w:type="spellStart"/>
      <w:r w:rsidR="00E86EEA" w:rsidRPr="00D0678C">
        <w:t>reflecte</w:t>
      </w:r>
      <w:proofErr w:type="spellEnd"/>
      <w:r w:rsidR="005F271F" w:rsidRPr="00D0678C">
        <w:t xml:space="preserve"> ó</w:t>
      </w:r>
      <w:r w:rsidRPr="00D0678C">
        <w:t xml:space="preserve">bvias preocupações </w:t>
      </w:r>
      <w:r w:rsidR="00DA0900" w:rsidRPr="00D0678C">
        <w:t xml:space="preserve">para </w:t>
      </w:r>
      <w:r w:rsidRPr="00D0678C">
        <w:t>com o devedor, evitando eventuais abusos do credor per</w:t>
      </w:r>
      <w:r w:rsidR="005F271F" w:rsidRPr="00D0678C">
        <w:t>ante o incumprimento do devedor</w:t>
      </w:r>
      <w:r w:rsidRPr="00D0678C">
        <w:t>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lastRenderedPageBreak/>
        <w:tab/>
        <w:t>Nada resta ao credor hipotecário, perante incumprimento do devedor,</w:t>
      </w:r>
      <w:r w:rsidR="00345AB9" w:rsidRPr="00D0678C">
        <w:t xml:space="preserve"> </w:t>
      </w:r>
      <w:r w:rsidR="002D38D3" w:rsidRPr="00D0678C">
        <w:t>senão promover</w:t>
      </w:r>
      <w:r w:rsidRPr="00D0678C">
        <w:t xml:space="preserve"> a venda judicial do</w:t>
      </w:r>
      <w:r w:rsidR="00345AB9" w:rsidRPr="00D0678C">
        <w:t xml:space="preserve"> </w:t>
      </w:r>
      <w:r w:rsidRPr="00D0678C">
        <w:t>bem. Coisa diversa é se a obrigação se extingue mediante dação em cumprim</w:t>
      </w:r>
      <w:r w:rsidR="007F578E" w:rsidRPr="00D0678C">
        <w:t xml:space="preserve">ento, nos termos do </w:t>
      </w:r>
      <w:proofErr w:type="spellStart"/>
      <w:r w:rsidR="007F578E" w:rsidRPr="00D0678C">
        <w:t>arts</w:t>
      </w:r>
      <w:proofErr w:type="spellEnd"/>
      <w:r w:rsidR="007F578E" w:rsidRPr="00D0678C">
        <w:t xml:space="preserve">. </w:t>
      </w:r>
      <w:proofErr w:type="gramStart"/>
      <w:r w:rsidR="007F578E" w:rsidRPr="00D0678C">
        <w:t xml:space="preserve">837º </w:t>
      </w:r>
      <w:r w:rsidRPr="00D0678C">
        <w:t xml:space="preserve"> </w:t>
      </w:r>
      <w:proofErr w:type="spellStart"/>
      <w:r w:rsidRPr="00D0678C">
        <w:t>ss</w:t>
      </w:r>
      <w:proofErr w:type="spellEnd"/>
      <w:proofErr w:type="gramEnd"/>
      <w:r w:rsidRPr="00D0678C">
        <w:t xml:space="preserve"> CC. </w:t>
      </w:r>
    </w:p>
    <w:p w:rsidR="00F277A8" w:rsidRDefault="00F277A8" w:rsidP="00D0678C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D0678C">
        <w:t xml:space="preserve">A teleologia da norma é inquestionável, e para os mais esquecidos fazemos questão </w:t>
      </w:r>
      <w:r w:rsidR="00345AB9" w:rsidRPr="00D0678C">
        <w:t>re</w:t>
      </w:r>
      <w:r w:rsidRPr="00D0678C">
        <w:t>lembrar, assim como foi feito no acórdã</w:t>
      </w:r>
      <w:r w:rsidR="007F578E" w:rsidRPr="00D0678C">
        <w:t>o do STJ de 21/12/2005: «</w:t>
      </w:r>
      <w:r w:rsidRPr="00D0678C">
        <w:t xml:space="preserve">A "ratio" da proibição do predito pacto é </w:t>
      </w:r>
      <w:proofErr w:type="spellStart"/>
      <w:r w:rsidRPr="00D0678C">
        <w:t>plúrima</w:t>
      </w:r>
      <w:proofErr w:type="spellEnd"/>
      <w:r w:rsidRPr="00D0678C">
        <w:t xml:space="preserve">, complexa, relevando, concomitantemente, o propósito de proteger o devedor da possível extorsão do credor e a necessidade, correspondente a um interesse geral do tráfego, de não serem iludidas as "regras do jogo" através da atribuição injustificada de privilégios a alguns credores, fora das vias </w:t>
      </w:r>
      <w:proofErr w:type="spellStart"/>
      <w:r w:rsidRPr="00D0678C">
        <w:t>objectivas</w:t>
      </w:r>
      <w:proofErr w:type="spellEnd"/>
      <w:r w:rsidRPr="00D0678C">
        <w:t xml:space="preserve"> em que repousa a bondade das </w:t>
      </w:r>
      <w:proofErr w:type="spellStart"/>
      <w:r w:rsidRPr="00D0678C">
        <w:t>excepções</w:t>
      </w:r>
      <w:proofErr w:type="spellEnd"/>
      <w:r w:rsidRPr="00D0678C">
        <w:t xml:space="preserve"> ao princípio das </w:t>
      </w:r>
      <w:proofErr w:type="spellStart"/>
      <w:r w:rsidRPr="00D0678C">
        <w:t>excepções</w:t>
      </w:r>
      <w:proofErr w:type="spellEnd"/>
      <w:r w:rsidRPr="00D0678C">
        <w:t xml:space="preserve"> ao prin</w:t>
      </w:r>
      <w:r w:rsidR="00345AB9" w:rsidRPr="00D0678C">
        <w:t xml:space="preserve">cípio "par </w:t>
      </w:r>
      <w:proofErr w:type="spellStart"/>
      <w:r w:rsidR="00345AB9" w:rsidRPr="00D0678C">
        <w:t>conditio</w:t>
      </w:r>
      <w:proofErr w:type="spellEnd"/>
      <w:r w:rsidR="00345AB9" w:rsidRPr="00D0678C">
        <w:t xml:space="preserve"> </w:t>
      </w:r>
      <w:proofErr w:type="spellStart"/>
      <w:r w:rsidR="00345AB9" w:rsidRPr="00D0678C">
        <w:t>creditorum</w:t>
      </w:r>
      <w:proofErr w:type="spellEnd"/>
      <w:r w:rsidR="00345AB9" w:rsidRPr="00D0678C">
        <w:t>"</w:t>
      </w:r>
      <w:r w:rsidR="001222D4" w:rsidRPr="00D0678C">
        <w:t>»</w:t>
      </w:r>
      <w:r w:rsidRPr="00D0678C">
        <w:rPr>
          <w:rStyle w:val="FootnoteReference"/>
        </w:rPr>
        <w:footnoteReference w:id="59"/>
      </w:r>
      <w:r w:rsidRPr="00D0678C">
        <w:t>.</w:t>
      </w:r>
    </w:p>
    <w:p w:rsidR="00D0678C" w:rsidRPr="00D0678C" w:rsidRDefault="00D0678C" w:rsidP="00D0678C">
      <w:pPr>
        <w:autoSpaceDE w:val="0"/>
        <w:autoSpaceDN w:val="0"/>
        <w:adjustRightInd w:val="0"/>
        <w:spacing w:after="0" w:line="360" w:lineRule="auto"/>
        <w:ind w:firstLine="708"/>
        <w:jc w:val="both"/>
      </w:pPr>
    </w:p>
    <w:p w:rsidR="00F277A8" w:rsidRPr="00D0678C" w:rsidRDefault="00AE0FDC" w:rsidP="00D0678C">
      <w:pPr>
        <w:spacing w:line="360" w:lineRule="auto"/>
        <w:ind w:firstLine="708"/>
        <w:jc w:val="both"/>
        <w:rPr>
          <w:b/>
        </w:rPr>
      </w:pPr>
      <w:r w:rsidRPr="00D0678C">
        <w:rPr>
          <w:b/>
        </w:rPr>
        <w:t>3.1.</w:t>
      </w:r>
      <w:r w:rsidR="00DD58B1" w:rsidRPr="00D0678C">
        <w:rPr>
          <w:b/>
        </w:rPr>
        <w:t>2</w:t>
      </w:r>
      <w:r w:rsidRPr="00D0678C">
        <w:rPr>
          <w:b/>
        </w:rPr>
        <w:t>.</w:t>
      </w:r>
      <w:r w:rsidR="00DD58B1" w:rsidRPr="00D0678C">
        <w:rPr>
          <w:b/>
        </w:rPr>
        <w:t>1.</w:t>
      </w:r>
      <w:r w:rsidRPr="00D0678C">
        <w:rPr>
          <w:b/>
        </w:rPr>
        <w:t xml:space="preserve"> </w:t>
      </w:r>
      <w:r w:rsidR="00F277A8" w:rsidRPr="00D0678C">
        <w:rPr>
          <w:b/>
        </w:rPr>
        <w:t>Extinção da hipoteca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t>Para além das causas resultantes dos princípios gerais, designadamente o decurso do prazo convencionado ou a verificação de uma condiç</w:t>
      </w:r>
      <w:r w:rsidR="00AE0FDC" w:rsidRPr="00D0678C">
        <w:t>ão resolutiva apos</w:t>
      </w:r>
      <w:r w:rsidR="002D38D3" w:rsidRPr="00D0678C">
        <w:t>ta à</w:t>
      </w:r>
      <w:r w:rsidR="00AE0FDC" w:rsidRPr="00D0678C">
        <w:t xml:space="preserve"> garantia</w:t>
      </w:r>
      <w:r w:rsidRPr="00D0678C">
        <w:rPr>
          <w:rStyle w:val="FootnoteReference"/>
        </w:rPr>
        <w:footnoteReference w:id="60"/>
      </w:r>
      <w:r w:rsidR="002D38D3" w:rsidRPr="00D0678C">
        <w:t>,</w:t>
      </w:r>
      <w:r w:rsidRPr="00D0678C">
        <w:t xml:space="preserve"> o </w:t>
      </w:r>
      <w:proofErr w:type="spellStart"/>
      <w:r w:rsidRPr="00D0678C">
        <w:t>art</w:t>
      </w:r>
      <w:proofErr w:type="spellEnd"/>
      <w:r w:rsidRPr="00D0678C">
        <w:t xml:space="preserve">. 730º CC, identifica algumas </w:t>
      </w:r>
      <w:r w:rsidRPr="00D0678C">
        <w:rPr>
          <w:i/>
        </w:rPr>
        <w:t>causas de extinção</w:t>
      </w:r>
      <w:r w:rsidRPr="00D0678C">
        <w:t xml:space="preserve"> da hipoteca. A al.</w:t>
      </w:r>
      <w:r w:rsidR="002D38D3" w:rsidRPr="00D0678C">
        <w:t xml:space="preserve"> </w:t>
      </w:r>
      <w:r w:rsidRPr="00D0678C">
        <w:rPr>
          <w:i/>
        </w:rPr>
        <w:t>a</w:t>
      </w:r>
      <w:r w:rsidR="002D38D3" w:rsidRPr="00D0678C">
        <w:rPr>
          <w:i/>
        </w:rPr>
        <w:t>)</w:t>
      </w:r>
      <w:r w:rsidRPr="00D0678C">
        <w:t xml:space="preserve"> prevê que a hipoteca se extingue com a extinção da obrigação garantida </w:t>
      </w:r>
      <w:r w:rsidR="002D38D3" w:rsidRPr="00D0678C">
        <w:t>–</w:t>
      </w:r>
      <w:r w:rsidRPr="00D0678C">
        <w:t xml:space="preserve"> uma causa de extinção </w:t>
      </w:r>
      <w:proofErr w:type="spellStart"/>
      <w:r w:rsidR="00E86EEA" w:rsidRPr="00D0678C">
        <w:rPr>
          <w:i/>
        </w:rPr>
        <w:t>indirecta</w:t>
      </w:r>
      <w:proofErr w:type="spellEnd"/>
      <w:r w:rsidR="002D38D3" w:rsidRPr="00D0678C">
        <w:t xml:space="preserve">. </w:t>
      </w:r>
      <w:r w:rsidRPr="00D0678C">
        <w:t>Por sua vez</w:t>
      </w:r>
      <w:r w:rsidR="002D38D3" w:rsidRPr="00D0678C">
        <w:t>,</w:t>
      </w:r>
      <w:r w:rsidRPr="00D0678C">
        <w:t xml:space="preserve"> as restantes alíneas consagram formas </w:t>
      </w:r>
      <w:proofErr w:type="spellStart"/>
      <w:r w:rsidR="004F5351" w:rsidRPr="00D0678C">
        <w:rPr>
          <w:i/>
        </w:rPr>
        <w:t>directas</w:t>
      </w:r>
      <w:proofErr w:type="spellEnd"/>
      <w:r w:rsidRPr="00D0678C">
        <w:t xml:space="preserve"> de extinção de hipoteca: a al. </w:t>
      </w:r>
      <w:r w:rsidRPr="00D0678C">
        <w:rPr>
          <w:i/>
        </w:rPr>
        <w:t>b)</w:t>
      </w:r>
      <w:r w:rsidRPr="00D0678C">
        <w:t xml:space="preserve"> </w:t>
      </w:r>
      <w:r w:rsidR="00AE0FDC" w:rsidRPr="00D0678C">
        <w:t>–</w:t>
      </w:r>
      <w:r w:rsidRPr="00D0678C">
        <w:t xml:space="preserve"> prevê a prescrição da hipoteca a favor do terceiro adquirente do prédio hipotecado decorridos 20 anos sobre o registo da aquisição e 5 sobre o vencimento da obrigação; </w:t>
      </w:r>
      <w:r w:rsidR="002D38D3" w:rsidRPr="00D0678C">
        <w:t xml:space="preserve">a </w:t>
      </w:r>
      <w:r w:rsidRPr="00D0678C">
        <w:t xml:space="preserve">al. </w:t>
      </w:r>
      <w:r w:rsidRPr="00D0678C">
        <w:rPr>
          <w:i/>
        </w:rPr>
        <w:t>c)</w:t>
      </w:r>
      <w:r w:rsidRPr="00D0678C">
        <w:t xml:space="preserve"> </w:t>
      </w:r>
      <w:r w:rsidR="00AE0FDC" w:rsidRPr="00D0678C">
        <w:t>–</w:t>
      </w:r>
      <w:r w:rsidRPr="00D0678C">
        <w:t xml:space="preserve"> o </w:t>
      </w:r>
      <w:r w:rsidR="00E86EEA" w:rsidRPr="00D0678C">
        <w:rPr>
          <w:i/>
        </w:rPr>
        <w:t>perecimento</w:t>
      </w:r>
      <w:r w:rsidRPr="00D0678C">
        <w:t xml:space="preserve"> da coisa hipotecada, salvo dispostos nos </w:t>
      </w:r>
      <w:proofErr w:type="spellStart"/>
      <w:r w:rsidRPr="00D0678C">
        <w:t>arts</w:t>
      </w:r>
      <w:proofErr w:type="spellEnd"/>
      <w:r w:rsidRPr="00D0678C">
        <w:t xml:space="preserve">. 692º </w:t>
      </w:r>
      <w:proofErr w:type="gramStart"/>
      <w:r w:rsidRPr="00D0678C">
        <w:t>e</w:t>
      </w:r>
      <w:proofErr w:type="gramEnd"/>
      <w:r w:rsidRPr="00D0678C">
        <w:t xml:space="preserve"> 701º; al. </w:t>
      </w:r>
      <w:r w:rsidRPr="00D0678C">
        <w:rPr>
          <w:i/>
        </w:rPr>
        <w:t>d)</w:t>
      </w:r>
      <w:r w:rsidRPr="00D0678C">
        <w:t xml:space="preserve"> </w:t>
      </w:r>
      <w:r w:rsidR="00AE0FDC" w:rsidRPr="00D0678C">
        <w:t>–</w:t>
      </w:r>
      <w:r w:rsidRPr="00D0678C">
        <w:t xml:space="preserve"> pela </w:t>
      </w:r>
      <w:r w:rsidRPr="00D0678C">
        <w:rPr>
          <w:i/>
        </w:rPr>
        <w:t>renúncia</w:t>
      </w:r>
      <w:r w:rsidRPr="00D0678C">
        <w:t xml:space="preserve"> do credor.</w:t>
      </w:r>
    </w:p>
    <w:p w:rsidR="00F277A8" w:rsidRDefault="00F277A8" w:rsidP="00D0678C">
      <w:pPr>
        <w:spacing w:line="360" w:lineRule="auto"/>
        <w:ind w:firstLine="708"/>
        <w:jc w:val="both"/>
      </w:pPr>
      <w:r w:rsidRPr="00D0678C">
        <w:t>Verificada algu</w:t>
      </w:r>
      <w:r w:rsidR="005D0141" w:rsidRPr="00D0678C">
        <w:t>ma</w:t>
      </w:r>
      <w:r w:rsidR="002D38D3" w:rsidRPr="00D0678C">
        <w:t xml:space="preserve"> das situações de extinção a</w:t>
      </w:r>
      <w:r w:rsidRPr="00D0678C">
        <w:t xml:space="preserve">cima referidas, o interessado deve promover o cancelamento da hipoteca nos termos dos </w:t>
      </w:r>
      <w:proofErr w:type="spellStart"/>
      <w:r w:rsidRPr="00D0678C">
        <w:t>arts</w:t>
      </w:r>
      <w:proofErr w:type="spellEnd"/>
      <w:r w:rsidRPr="00D0678C">
        <w:t xml:space="preserve">. 56º </w:t>
      </w:r>
      <w:proofErr w:type="gramStart"/>
      <w:r w:rsidRPr="00D0678C">
        <w:t>e</w:t>
      </w:r>
      <w:proofErr w:type="gramEnd"/>
      <w:r w:rsidRPr="00D0678C">
        <w:t xml:space="preserve"> 57º do </w:t>
      </w:r>
      <w:proofErr w:type="spellStart"/>
      <w:r w:rsidRPr="00D0678C">
        <w:t>CRPred</w:t>
      </w:r>
      <w:proofErr w:type="spellEnd"/>
      <w:r w:rsidRPr="00D0678C">
        <w:t xml:space="preserve">. </w:t>
      </w:r>
    </w:p>
    <w:p w:rsidR="0043508B" w:rsidRDefault="0043508B" w:rsidP="0043508B">
      <w:pPr>
        <w:spacing w:line="360" w:lineRule="auto"/>
        <w:jc w:val="both"/>
      </w:pPr>
    </w:p>
    <w:p w:rsidR="00F277A8" w:rsidRPr="00D0678C" w:rsidRDefault="00AE0FDC" w:rsidP="0043508B">
      <w:pPr>
        <w:spacing w:line="360" w:lineRule="auto"/>
        <w:ind w:firstLine="708"/>
        <w:jc w:val="both"/>
        <w:rPr>
          <w:b/>
        </w:rPr>
      </w:pPr>
      <w:r w:rsidRPr="00D0678C">
        <w:rPr>
          <w:b/>
        </w:rPr>
        <w:t xml:space="preserve">3.1.4. </w:t>
      </w:r>
      <w:r w:rsidR="00F277A8" w:rsidRPr="00D0678C">
        <w:rPr>
          <w:b/>
        </w:rPr>
        <w:t>Execução da hipoteca</w:t>
      </w:r>
    </w:p>
    <w:p w:rsidR="00DE12B5" w:rsidRPr="00D0678C" w:rsidRDefault="00AD6DB8" w:rsidP="00D0678C">
      <w:pPr>
        <w:spacing w:line="360" w:lineRule="auto"/>
        <w:ind w:firstLine="708"/>
        <w:jc w:val="both"/>
      </w:pPr>
      <w:r w:rsidRPr="00D0678C">
        <w:rPr>
          <w:smallCaps/>
        </w:rPr>
        <w:lastRenderedPageBreak/>
        <w:t>Isabel Menéres Campos</w:t>
      </w:r>
      <w:r w:rsidR="00DE12B5" w:rsidRPr="00D0678C">
        <w:t>, doutamente, ilumina-nos: “</w:t>
      </w:r>
      <w:proofErr w:type="gramStart"/>
      <w:r w:rsidR="00DE12B5" w:rsidRPr="00D0678C">
        <w:t>[a</w:t>
      </w:r>
      <w:proofErr w:type="gramEnd"/>
      <w:r w:rsidR="00DE12B5" w:rsidRPr="00D0678C">
        <w:t xml:space="preserve">] execução é o meio comum de o credor [hipotecário, </w:t>
      </w:r>
      <w:r w:rsidR="00DE12B5" w:rsidRPr="00D0678C">
        <w:rPr>
          <w:i/>
        </w:rPr>
        <w:t xml:space="preserve">in </w:t>
      </w:r>
      <w:proofErr w:type="spellStart"/>
      <w:r w:rsidR="00DE12B5" w:rsidRPr="00D0678C">
        <w:rPr>
          <w:i/>
        </w:rPr>
        <w:t>cas</w:t>
      </w:r>
      <w:r w:rsidR="00413A1C" w:rsidRPr="00D0678C">
        <w:rPr>
          <w:i/>
        </w:rPr>
        <w:t>u</w:t>
      </w:r>
      <w:proofErr w:type="spellEnd"/>
      <w:r w:rsidR="00DE12B5" w:rsidRPr="00D0678C">
        <w:t xml:space="preserve">] obter </w:t>
      </w:r>
      <w:proofErr w:type="spellStart"/>
      <w:r w:rsidR="00DE12B5" w:rsidRPr="00D0678C">
        <w:t>coactivamente</w:t>
      </w:r>
      <w:proofErr w:type="spellEnd"/>
      <w:r w:rsidR="00DE12B5" w:rsidRPr="00D0678C">
        <w:t xml:space="preserve"> a satisfação do seu direito, de acordo com o disposto no </w:t>
      </w:r>
      <w:proofErr w:type="spellStart"/>
      <w:r w:rsidR="00DE12B5" w:rsidRPr="00D0678C">
        <w:t>art</w:t>
      </w:r>
      <w:proofErr w:type="spellEnd"/>
      <w:r w:rsidR="00DE12B5" w:rsidRPr="00D0678C">
        <w:t>. 817º CC</w:t>
      </w:r>
      <w:r w:rsidR="00DE12B5" w:rsidRPr="00D0678C">
        <w:rPr>
          <w:rStyle w:val="FootnoteReference"/>
        </w:rPr>
        <w:footnoteReference w:id="61"/>
      </w:r>
      <w:r w:rsidR="00DE12B5" w:rsidRPr="00D0678C">
        <w:t xml:space="preserve">. 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t xml:space="preserve">Sendo o credor hipotecário possuidor de um </w:t>
      </w:r>
      <w:r w:rsidR="00FB5188" w:rsidRPr="00D0678C">
        <w:t>título</w:t>
      </w:r>
      <w:r w:rsidRPr="00D0678C">
        <w:t xml:space="preserve"> executivo, nos termos do art.10º, nº 3 do CPC, e a obrigação preencher os requisitos da </w:t>
      </w:r>
      <w:r w:rsidRPr="00D0678C">
        <w:rPr>
          <w:i/>
        </w:rPr>
        <w:t>exequibilidade interna</w:t>
      </w:r>
      <w:r w:rsidRPr="00D0678C">
        <w:t xml:space="preserve"> </w:t>
      </w:r>
      <w:r w:rsidR="006649A8" w:rsidRPr="00D0678C">
        <w:t>–</w:t>
      </w:r>
      <w:r w:rsidR="005D0141" w:rsidRPr="00D0678C">
        <w:t xml:space="preserve"> certa, liquida, exigível</w:t>
      </w:r>
      <w:r w:rsidRPr="00D0678C">
        <w:rPr>
          <w:rStyle w:val="FootnoteReference"/>
        </w:rPr>
        <w:footnoteReference w:id="62"/>
      </w:r>
      <w:r w:rsidRPr="00D0678C">
        <w:t xml:space="preserve"> </w:t>
      </w:r>
      <w:r w:rsidR="00DE12B5" w:rsidRPr="00D0678C">
        <w:t>–</w:t>
      </w:r>
      <w:r w:rsidRPr="00D0678C">
        <w:t xml:space="preserve">, pode </w:t>
      </w:r>
      <w:r w:rsidR="005D0141" w:rsidRPr="00D0678C">
        <w:t xml:space="preserve">o credor </w:t>
      </w:r>
      <w:r w:rsidRPr="00D0678C">
        <w:t xml:space="preserve">lançar mão de uma </w:t>
      </w:r>
      <w:proofErr w:type="spellStart"/>
      <w:r w:rsidRPr="00D0678C">
        <w:t>a</w:t>
      </w:r>
      <w:r w:rsidR="00DE12B5" w:rsidRPr="00D0678C">
        <w:t>c</w:t>
      </w:r>
      <w:r w:rsidRPr="00D0678C">
        <w:t>ção</w:t>
      </w:r>
      <w:proofErr w:type="spellEnd"/>
      <w:r w:rsidRPr="00D0678C">
        <w:t xml:space="preserve"> executiva para o cumprimento da obrigação – frequentemente obrigações de natureza pecuniária.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t xml:space="preserve">Com efeito, e relembrando </w:t>
      </w:r>
      <w:r w:rsidR="004C0F3F" w:rsidRPr="00D0678C">
        <w:rPr>
          <w:smallCaps/>
        </w:rPr>
        <w:t>Henrique Mesquita</w:t>
      </w:r>
      <w:r w:rsidRPr="00D0678C">
        <w:rPr>
          <w:rStyle w:val="FootnoteReference"/>
          <w:smallCaps/>
        </w:rPr>
        <w:footnoteReference w:id="63"/>
      </w:r>
      <w:r w:rsidRPr="00D0678C">
        <w:t>, o credor hipotecário tem apenas direito a ver o seu crédito satisfeito com prioridade em relação aos demais credores comuns, não pode</w:t>
      </w:r>
      <w:r w:rsidR="004C0F3F" w:rsidRPr="00D0678C">
        <w:t>ndo em caso algum dispor do bem</w:t>
      </w:r>
      <w:r w:rsidRPr="00D0678C">
        <w:t xml:space="preserve"> </w:t>
      </w:r>
      <w:proofErr w:type="spellStart"/>
      <w:r w:rsidRPr="00D0678C">
        <w:t>obje</w:t>
      </w:r>
      <w:r w:rsidR="004C0F3F" w:rsidRPr="00D0678C">
        <w:t>c</w:t>
      </w:r>
      <w:r w:rsidRPr="00D0678C">
        <w:t>to</w:t>
      </w:r>
      <w:proofErr w:type="spellEnd"/>
      <w:r w:rsidRPr="00D0678C">
        <w:t xml:space="preserve"> da hipoteca. Esta imposição processual, ao lado da proibição de pacto comissório, visa </w:t>
      </w:r>
      <w:r w:rsidR="004C0F3F" w:rsidRPr="00D0678C">
        <w:t>– relembramos</w:t>
      </w:r>
      <w:r w:rsidR="005D0141" w:rsidRPr="00D0678C">
        <w:t>!</w:t>
      </w:r>
      <w:r w:rsidR="004C0F3F" w:rsidRPr="00D0678C">
        <w:t xml:space="preserve"> – </w:t>
      </w:r>
      <w:proofErr w:type="gramStart"/>
      <w:r w:rsidRPr="00D0678C">
        <w:rPr>
          <w:i/>
        </w:rPr>
        <w:t>proteger</w:t>
      </w:r>
      <w:proofErr w:type="gramEnd"/>
      <w:r w:rsidRPr="00D0678C">
        <w:t xml:space="preserve"> o devedor de eventuais abusos do credor. </w:t>
      </w:r>
    </w:p>
    <w:p w:rsidR="00F277A8" w:rsidRPr="00D0678C" w:rsidRDefault="00F277A8" w:rsidP="00D0678C">
      <w:pPr>
        <w:spacing w:line="360" w:lineRule="auto"/>
        <w:ind w:firstLine="708"/>
        <w:jc w:val="both"/>
      </w:pPr>
      <w:r w:rsidRPr="00D0678C">
        <w:t xml:space="preserve">Nesta senda, o credor hipotecário verá, em </w:t>
      </w:r>
      <w:r w:rsidR="004C0F3F" w:rsidRPr="00D0678C">
        <w:t>princípio</w:t>
      </w:r>
      <w:r w:rsidRPr="00D0678C">
        <w:t xml:space="preserve">, satisfeito o seu crédito </w:t>
      </w:r>
      <w:r w:rsidR="005D0141" w:rsidRPr="00D0678C">
        <w:t xml:space="preserve">em primeiro lugar, </w:t>
      </w:r>
      <w:r w:rsidRPr="00D0678C">
        <w:t>pelo prod</w:t>
      </w:r>
      <w:r w:rsidR="005D0141" w:rsidRPr="00D0678C">
        <w:t>uto da venda do bem hipotecado, sem prejuízo de haver</w:t>
      </w:r>
      <w:r w:rsidRPr="00D0678C">
        <w:t xml:space="preserve"> algum </w:t>
      </w:r>
      <w:r w:rsidR="00272A09" w:rsidRPr="00D0678C">
        <w:t>privilégio</w:t>
      </w:r>
      <w:r w:rsidRPr="00D0678C">
        <w:t xml:space="preserve"> imobiliário es</w:t>
      </w:r>
      <w:r w:rsidR="004C0F3F" w:rsidRPr="00D0678C">
        <w:t>pecial ou direito de retenção (</w:t>
      </w:r>
      <w:proofErr w:type="spellStart"/>
      <w:r w:rsidR="005D0141" w:rsidRPr="00D0678C">
        <w:t>art</w:t>
      </w:r>
      <w:proofErr w:type="spellEnd"/>
      <w:r w:rsidR="005D0141" w:rsidRPr="00D0678C">
        <w:t>. 759º, nº 2).</w:t>
      </w:r>
    </w:p>
    <w:p w:rsidR="00A24384" w:rsidRPr="00D0678C" w:rsidRDefault="00F277A8" w:rsidP="00D0678C">
      <w:pPr>
        <w:spacing w:line="360" w:lineRule="auto"/>
        <w:jc w:val="both"/>
        <w:rPr>
          <w:b/>
        </w:rPr>
      </w:pPr>
      <w:r w:rsidRPr="00D0678C">
        <w:tab/>
      </w:r>
      <w:r w:rsidRPr="00D0678C">
        <w:rPr>
          <w:b/>
        </w:rPr>
        <w:t xml:space="preserve">II. </w:t>
      </w:r>
    </w:p>
    <w:p w:rsidR="00272A09" w:rsidRPr="00D0678C" w:rsidRDefault="00A24384" w:rsidP="00D0678C">
      <w:pPr>
        <w:spacing w:line="360" w:lineRule="auto"/>
        <w:jc w:val="both"/>
        <w:rPr>
          <w:b/>
        </w:rPr>
      </w:pPr>
      <w:r w:rsidRPr="00D0678C">
        <w:rPr>
          <w:b/>
        </w:rPr>
        <w:tab/>
      </w:r>
      <w:r w:rsidR="00272A09" w:rsidRPr="00D0678C">
        <w:rPr>
          <w:b/>
        </w:rPr>
        <w:t>1. Sentença de Portalegre</w:t>
      </w:r>
      <w:r w:rsidR="00BA0F8E" w:rsidRPr="00D0678C">
        <w:rPr>
          <w:b/>
        </w:rPr>
        <w:t>: a surpresa</w:t>
      </w:r>
      <w:r w:rsidR="009F082F" w:rsidRPr="00D0678C">
        <w:rPr>
          <w:b/>
        </w:rPr>
        <w:t xml:space="preserve"> geral</w:t>
      </w:r>
    </w:p>
    <w:p w:rsidR="00BA0F8E" w:rsidRPr="00D0678C" w:rsidRDefault="00BA0F8E" w:rsidP="00D0678C">
      <w:pPr>
        <w:spacing w:line="360" w:lineRule="auto"/>
        <w:jc w:val="both"/>
      </w:pPr>
      <w:r w:rsidRPr="00D0678C">
        <w:tab/>
      </w:r>
      <w:r w:rsidR="00070EB0" w:rsidRPr="00D0678C">
        <w:t>Teve enorme divulgação mediática a decisão do Tribunal Judicial de Portalegre</w:t>
      </w:r>
      <w:r w:rsidR="00070EB0" w:rsidRPr="00D0678C">
        <w:rPr>
          <w:rStyle w:val="FootnoteReference"/>
        </w:rPr>
        <w:footnoteReference w:id="64"/>
      </w:r>
      <w:r w:rsidR="00070EB0" w:rsidRPr="00D0678C">
        <w:t xml:space="preserve">, que </w:t>
      </w:r>
      <w:r w:rsidR="00070EB0" w:rsidRPr="00D0678C">
        <w:rPr>
          <w:i/>
        </w:rPr>
        <w:t>contrariou a tendência jurisprudencial</w:t>
      </w:r>
      <w:r w:rsidR="00070EB0" w:rsidRPr="00D0678C">
        <w:t xml:space="preserve"> em situações </w:t>
      </w:r>
      <w:r w:rsidR="003C5B97" w:rsidRPr="00D0678C">
        <w:t xml:space="preserve">similares. </w:t>
      </w:r>
      <w:proofErr w:type="gramStart"/>
      <w:r w:rsidR="003C5B97" w:rsidRPr="00D0678C">
        <w:t xml:space="preserve">Esta </w:t>
      </w:r>
      <w:r w:rsidR="00611A44" w:rsidRPr="00D0678C">
        <w:t xml:space="preserve"> </w:t>
      </w:r>
      <w:r w:rsidR="003C5B97" w:rsidRPr="00D0678C">
        <w:t>dizia</w:t>
      </w:r>
      <w:proofErr w:type="gramEnd"/>
      <w:r w:rsidR="003C5B97" w:rsidRPr="00D0678C">
        <w:t xml:space="preserve"> respeito a </w:t>
      </w:r>
      <w:r w:rsidR="00070EB0" w:rsidRPr="00D0678C">
        <w:t xml:space="preserve">um processo de inventário, em consequência de um </w:t>
      </w:r>
      <w:r w:rsidR="00611A44" w:rsidRPr="00D0678C">
        <w:t>divórcio</w:t>
      </w:r>
      <w:r w:rsidR="003C5B97" w:rsidRPr="00D0678C">
        <w:t>, em que o tribunal decidiu que</w:t>
      </w:r>
      <w:r w:rsidR="00070EB0" w:rsidRPr="00D0678C">
        <w:t xml:space="preserve"> a adjudicação do bem, </w:t>
      </w:r>
      <w:r w:rsidR="00070EB0" w:rsidRPr="00D0678C">
        <w:rPr>
          <w:i/>
        </w:rPr>
        <w:t xml:space="preserve">in </w:t>
      </w:r>
      <w:proofErr w:type="spellStart"/>
      <w:r w:rsidR="00070EB0" w:rsidRPr="00D0678C">
        <w:rPr>
          <w:i/>
        </w:rPr>
        <w:t>casu</w:t>
      </w:r>
      <w:proofErr w:type="spellEnd"/>
      <w:r w:rsidR="00070EB0" w:rsidRPr="00D0678C">
        <w:t xml:space="preserve"> a casa de morada de </w:t>
      </w:r>
      <w:r w:rsidR="00611A44" w:rsidRPr="00D0678C">
        <w:t>família, extinguia</w:t>
      </w:r>
      <w:r w:rsidR="00070EB0" w:rsidRPr="00D0678C">
        <w:t xml:space="preserve"> a divida </w:t>
      </w:r>
      <w:r w:rsidR="00611A44" w:rsidRPr="00D0678C">
        <w:t xml:space="preserve">ao banco. </w:t>
      </w:r>
      <w:r w:rsidR="00946A02" w:rsidRPr="00D0678C">
        <w:t>A sentença, que não entusiasma os bancos, quando foi transmitida pelos meios de comunicação social já havia transitado em julgado</w:t>
      </w:r>
      <w:r w:rsidR="00946A02" w:rsidRPr="00D0678C">
        <w:rPr>
          <w:rStyle w:val="FootnoteReference"/>
        </w:rPr>
        <w:footnoteReference w:id="65"/>
      </w:r>
      <w:r w:rsidR="00946A02" w:rsidRPr="00D0678C">
        <w:t xml:space="preserve">. Sendo </w:t>
      </w:r>
      <w:r w:rsidR="00946A02" w:rsidRPr="00D0678C">
        <w:lastRenderedPageBreak/>
        <w:t>certo que a mesma sentença</w:t>
      </w:r>
      <w:r w:rsidR="00303E14" w:rsidRPr="00D0678C">
        <w:t>, que</w:t>
      </w:r>
      <w:r w:rsidR="00946A02" w:rsidRPr="00D0678C">
        <w:t xml:space="preserve"> não faz </w:t>
      </w:r>
      <w:r w:rsidR="00303E14" w:rsidRPr="00D0678C">
        <w:t>jurisprudência</w:t>
      </w:r>
      <w:r w:rsidR="00303E14" w:rsidRPr="00D0678C">
        <w:rPr>
          <w:rStyle w:val="FootnoteReference"/>
        </w:rPr>
        <w:footnoteReference w:id="66"/>
      </w:r>
      <w:r w:rsidR="00303E14" w:rsidRPr="00D0678C">
        <w:t>, foi imediatamente associada outros casos ocorridos nos tribunais espanhóis e que lhe serviram de inspiração.</w:t>
      </w:r>
    </w:p>
    <w:p w:rsidR="00F93F3F" w:rsidRPr="00D0678C" w:rsidRDefault="00F93F3F" w:rsidP="00D0678C">
      <w:pPr>
        <w:spacing w:line="360" w:lineRule="auto"/>
        <w:jc w:val="both"/>
        <w:rPr>
          <w:b/>
        </w:rPr>
      </w:pPr>
      <w:r w:rsidRPr="00D0678C">
        <w:tab/>
      </w:r>
      <w:r w:rsidRPr="00D0678C">
        <w:rPr>
          <w:b/>
        </w:rPr>
        <w:t>2. Jurisprudência espanhola</w:t>
      </w:r>
    </w:p>
    <w:p w:rsidR="00272A09" w:rsidRPr="00D0678C" w:rsidRDefault="00F93F3F" w:rsidP="00D0678C">
      <w:pPr>
        <w:spacing w:line="360" w:lineRule="auto"/>
        <w:jc w:val="both"/>
      </w:pPr>
      <w:r w:rsidRPr="00D0678C">
        <w:rPr>
          <w:b/>
        </w:rPr>
        <w:tab/>
      </w:r>
      <w:r w:rsidRPr="00D0678C">
        <w:t>Antes de nos debruçarmos sobre o panorama nacional, temos de dar dois passos atrás: no encalce dos casos ocorrido</w:t>
      </w:r>
      <w:r w:rsidR="006A0FE0" w:rsidRPr="00D0678C">
        <w:t>s</w:t>
      </w:r>
      <w:r w:rsidRPr="00D0678C">
        <w:t xml:space="preserve"> na vizinha Espanha e</w:t>
      </w:r>
      <w:r w:rsidR="003151D5" w:rsidRPr="00D0678C">
        <w:t xml:space="preserve"> que</w:t>
      </w:r>
      <w:r w:rsidRPr="00D0678C">
        <w:t>, reflexamente, influenciaram a pena do juiz de Portalegre</w:t>
      </w:r>
      <w:r w:rsidRPr="00D0678C">
        <w:rPr>
          <w:rStyle w:val="FootnoteReference"/>
        </w:rPr>
        <w:footnoteReference w:id="67"/>
      </w:r>
      <w:r w:rsidR="006A0FE0" w:rsidRPr="00D0678C">
        <w:t>.</w:t>
      </w:r>
      <w:r w:rsidRPr="00D0678C">
        <w:t xml:space="preserve"> </w:t>
      </w:r>
    </w:p>
    <w:p w:rsidR="003151D5" w:rsidRPr="00D0678C" w:rsidRDefault="003151D5" w:rsidP="00D0678C">
      <w:pPr>
        <w:spacing w:line="360" w:lineRule="auto"/>
        <w:jc w:val="both"/>
      </w:pPr>
      <w:r w:rsidRPr="00D0678C">
        <w:tab/>
        <w:t xml:space="preserve">Com efeito, Espanha tem uma </w:t>
      </w:r>
      <w:proofErr w:type="spellStart"/>
      <w:r w:rsidRPr="00D0678C">
        <w:rPr>
          <w:i/>
        </w:rPr>
        <w:t>Ley</w:t>
      </w:r>
      <w:proofErr w:type="spellEnd"/>
      <w:r w:rsidRPr="00D0678C">
        <w:rPr>
          <w:i/>
        </w:rPr>
        <w:t xml:space="preserve"> Hipotecaria</w:t>
      </w:r>
      <w:r w:rsidRPr="00D0678C">
        <w:rPr>
          <w:rStyle w:val="FootnoteReference"/>
        </w:rPr>
        <w:footnoteReference w:id="68"/>
      </w:r>
      <w:r w:rsidRPr="00D0678C">
        <w:t xml:space="preserve"> </w:t>
      </w:r>
      <w:r w:rsidRPr="00D0678C">
        <w:rPr>
          <w:rStyle w:val="FootnoteReference"/>
        </w:rPr>
        <w:footnoteReference w:id="69"/>
      </w:r>
      <w:r w:rsidRPr="00D0678C">
        <w:t xml:space="preserve"> </w:t>
      </w:r>
      <w:proofErr w:type="gramStart"/>
      <w:r w:rsidRPr="00D0678C">
        <w:t>que</w:t>
      </w:r>
      <w:proofErr w:type="gramEnd"/>
      <w:r w:rsidRPr="00D0678C">
        <w:t xml:space="preserve"> prevê a não alteração da responsabilidade do devedor </w:t>
      </w:r>
      <w:r w:rsidR="00FF5D06" w:rsidRPr="00D0678C">
        <w:t>e, cumulativamente</w:t>
      </w:r>
      <w:r w:rsidR="00960209" w:rsidRPr="00D0678C">
        <w:t>,</w:t>
      </w:r>
      <w:r w:rsidR="00FF5D06" w:rsidRPr="00D0678C">
        <w:t xml:space="preserve"> o </w:t>
      </w:r>
      <w:proofErr w:type="spellStart"/>
      <w:r w:rsidR="00FF5D06" w:rsidRPr="00D0678C">
        <w:t>art</w:t>
      </w:r>
      <w:proofErr w:type="spellEnd"/>
      <w:r w:rsidR="00FF5D06" w:rsidRPr="00D0678C">
        <w:t>. 579º da lei do processo civil espanhol</w:t>
      </w:r>
      <w:r w:rsidR="00FF5D06" w:rsidRPr="00D0678C">
        <w:rPr>
          <w:rStyle w:val="FootnoteReference"/>
        </w:rPr>
        <w:footnoteReference w:id="70"/>
      </w:r>
      <w:r w:rsidR="00FF5D06" w:rsidRPr="00D0678C">
        <w:t xml:space="preserve"> que prevê que se o produto da execução dos bens penhorados não for suficiente para cobrir o crédito, a execução prosseguirá sobre outros bens do devedor ou terceiros garantes</w:t>
      </w:r>
      <w:r w:rsidR="00A64351" w:rsidRPr="00D0678C">
        <w:t>. Porém, muitas foram as sentenças judiciais que fizeram da lei letra morta</w:t>
      </w:r>
      <w:r w:rsidR="00A64351" w:rsidRPr="00D0678C">
        <w:rPr>
          <w:rStyle w:val="FootnoteReference"/>
        </w:rPr>
        <w:footnoteReference w:id="71"/>
      </w:r>
      <w:r w:rsidR="009F20FB" w:rsidRPr="00D0678C">
        <w:t xml:space="preserve">, ao jeito de uma espécie </w:t>
      </w:r>
      <w:proofErr w:type="spellStart"/>
      <w:r w:rsidR="009F20FB" w:rsidRPr="00D0678C">
        <w:t>activismo</w:t>
      </w:r>
      <w:proofErr w:type="spellEnd"/>
      <w:r w:rsidR="009F20FB" w:rsidRPr="00D0678C">
        <w:t xml:space="preserve"> judicativo.</w:t>
      </w:r>
    </w:p>
    <w:p w:rsidR="007315AE" w:rsidRPr="00D0678C" w:rsidRDefault="009F20FB" w:rsidP="00D0678C">
      <w:pPr>
        <w:spacing w:line="360" w:lineRule="auto"/>
        <w:jc w:val="both"/>
      </w:pPr>
      <w:r w:rsidRPr="00D0678C">
        <w:tab/>
      </w:r>
      <w:r w:rsidR="00AD6DB8" w:rsidRPr="00D0678C">
        <w:t xml:space="preserve">Faremos, com efeito, um breve apanhado </w:t>
      </w:r>
      <w:r w:rsidR="005C7FA3" w:rsidRPr="00D0678C">
        <w:t>d</w:t>
      </w:r>
      <w:r w:rsidR="00E220FB" w:rsidRPr="00D0678C">
        <w:t>essas decisões</w:t>
      </w:r>
      <w:r w:rsidR="007315AE" w:rsidRPr="00D0678C">
        <w:rPr>
          <w:rStyle w:val="FootnoteReference"/>
        </w:rPr>
        <w:footnoteReference w:id="72"/>
      </w:r>
      <w:r w:rsidR="007315AE" w:rsidRPr="00D0678C">
        <w:t>:</w:t>
      </w:r>
    </w:p>
    <w:p w:rsidR="00C434EE" w:rsidRPr="00D0678C" w:rsidRDefault="00C434EE" w:rsidP="00D0678C">
      <w:pPr>
        <w:spacing w:line="360" w:lineRule="auto"/>
        <w:jc w:val="both"/>
      </w:pPr>
      <w:r w:rsidRPr="00D0678C">
        <w:rPr>
          <w:i/>
        </w:rPr>
        <w:lastRenderedPageBreak/>
        <w:tab/>
      </w:r>
      <w:r w:rsidR="007315AE" w:rsidRPr="00D0678C">
        <w:rPr>
          <w:i/>
        </w:rPr>
        <w:t>(i)</w:t>
      </w:r>
      <w:r w:rsidR="007315AE" w:rsidRPr="00D0678C">
        <w:t xml:space="preserve"> Decisão da </w:t>
      </w:r>
      <w:proofErr w:type="spellStart"/>
      <w:r w:rsidR="007315AE" w:rsidRPr="00D0678C">
        <w:rPr>
          <w:i/>
        </w:rPr>
        <w:t>Sección</w:t>
      </w:r>
      <w:proofErr w:type="spellEnd"/>
      <w:r w:rsidR="007315AE" w:rsidRPr="00D0678C">
        <w:rPr>
          <w:i/>
        </w:rPr>
        <w:t xml:space="preserve"> Segunda da </w:t>
      </w:r>
      <w:proofErr w:type="spellStart"/>
      <w:r w:rsidR="007315AE" w:rsidRPr="00D0678C">
        <w:rPr>
          <w:i/>
        </w:rPr>
        <w:t>Audiencia</w:t>
      </w:r>
      <w:proofErr w:type="spellEnd"/>
      <w:r w:rsidR="007315AE" w:rsidRPr="00D0678C">
        <w:rPr>
          <w:i/>
        </w:rPr>
        <w:t xml:space="preserve"> de Navarra</w:t>
      </w:r>
      <w:r w:rsidR="007315AE" w:rsidRPr="00D0678C">
        <w:t xml:space="preserve">, de 17.12.2010: um Banco havia interposto uma execução hipotecária em virtude da concessão de um </w:t>
      </w:r>
      <w:r w:rsidR="00416B84" w:rsidRPr="00D0678C">
        <w:t>empréstimo</w:t>
      </w:r>
      <w:r w:rsidR="00960209" w:rsidRPr="00D0678C">
        <w:t xml:space="preserve"> de €</w:t>
      </w:r>
      <w:r w:rsidR="007315AE" w:rsidRPr="00D0678C">
        <w:t>59 390, posteriormente aumentado em mais €11 865 para</w:t>
      </w:r>
      <w:r w:rsidR="00960209" w:rsidRPr="00D0678C">
        <w:t xml:space="preserve"> um</w:t>
      </w:r>
      <w:r w:rsidR="007315AE" w:rsidRPr="00D0678C">
        <w:t xml:space="preserve"> imóvel habitacional. Obedecidos os trâmites legais, e sem que aparecessem interessados, o Banco consegue que o i</w:t>
      </w:r>
      <w:r w:rsidR="00960209" w:rsidRPr="00D0678C">
        <w:t>móvel lhe seja adjudicado por €</w:t>
      </w:r>
      <w:r w:rsidR="007315AE" w:rsidRPr="00D0678C">
        <w:t>42 438. Não satisfeito, o Banco requer a continuação da execução até ao</w:t>
      </w:r>
      <w:r w:rsidR="00416B84" w:rsidRPr="00D0678C">
        <w:t xml:space="preserve"> montante global do crédito.</w:t>
      </w:r>
      <w:r w:rsidR="007315AE" w:rsidRPr="00D0678C">
        <w:t xml:space="preserve"> </w:t>
      </w:r>
      <w:r w:rsidRPr="00D0678C">
        <w:t xml:space="preserve">O “martelo” do tribunal </w:t>
      </w:r>
      <w:r w:rsidRPr="00D0678C">
        <w:rPr>
          <w:i/>
        </w:rPr>
        <w:t>indefere</w:t>
      </w:r>
      <w:r w:rsidRPr="00D0678C">
        <w:t xml:space="preserve"> a continuação da execução (salvo juros e custas). A decisão veio a ser confirmada pelo tribunal superior com a fundamentação de que a desvalorização dos imóveis era da responsabilidade das entidades bancárias e, nessa medida, a prossecução</w:t>
      </w:r>
      <w:r w:rsidRPr="00D0678C">
        <w:rPr>
          <w:i/>
        </w:rPr>
        <w:t xml:space="preserve"> </w:t>
      </w:r>
      <w:r w:rsidRPr="00D0678C">
        <w:t>da execução pelo Banco era</w:t>
      </w:r>
      <w:r w:rsidR="001C15C2" w:rsidRPr="00D0678C">
        <w:t xml:space="preserve"> um abuso de direito;</w:t>
      </w:r>
    </w:p>
    <w:p w:rsidR="007315AE" w:rsidRPr="00D0678C" w:rsidRDefault="00C434EE" w:rsidP="00D0678C">
      <w:pPr>
        <w:spacing w:line="360" w:lineRule="auto"/>
        <w:jc w:val="both"/>
      </w:pPr>
      <w:r w:rsidRPr="00D0678C">
        <w:tab/>
      </w:r>
      <w:r w:rsidRPr="00D0678C">
        <w:rPr>
          <w:i/>
        </w:rPr>
        <w:t>(</w:t>
      </w:r>
      <w:proofErr w:type="spellStart"/>
      <w:r w:rsidRPr="00D0678C">
        <w:rPr>
          <w:i/>
        </w:rPr>
        <w:t>ii</w:t>
      </w:r>
      <w:proofErr w:type="spellEnd"/>
      <w:r w:rsidRPr="00D0678C">
        <w:rPr>
          <w:i/>
        </w:rPr>
        <w:t>)</w:t>
      </w:r>
      <w:r w:rsidRPr="00D0678C">
        <w:t xml:space="preserve"> Na </w:t>
      </w:r>
      <w:r w:rsidR="00097494" w:rsidRPr="00D0678C">
        <w:t>esteira</w:t>
      </w:r>
      <w:r w:rsidRPr="00D0678C">
        <w:t xml:space="preserve"> da decisão de Navarra, seguiu</w:t>
      </w:r>
      <w:r w:rsidR="00960209" w:rsidRPr="00D0678C">
        <w:t>-se</w:t>
      </w:r>
      <w:r w:rsidRPr="00D0678C">
        <w:t xml:space="preserve"> a decisão do </w:t>
      </w:r>
      <w:proofErr w:type="spellStart"/>
      <w:r w:rsidRPr="00D0678C">
        <w:rPr>
          <w:i/>
        </w:rPr>
        <w:t>Juzgado</w:t>
      </w:r>
      <w:proofErr w:type="spellEnd"/>
      <w:r w:rsidRPr="00D0678C">
        <w:rPr>
          <w:i/>
        </w:rPr>
        <w:t xml:space="preserve"> de </w:t>
      </w:r>
      <w:proofErr w:type="spellStart"/>
      <w:r w:rsidRPr="00D0678C">
        <w:rPr>
          <w:i/>
        </w:rPr>
        <w:t>Primera</w:t>
      </w:r>
      <w:proofErr w:type="spellEnd"/>
      <w:r w:rsidRPr="00D0678C">
        <w:rPr>
          <w:i/>
        </w:rPr>
        <w:t xml:space="preserve"> Instancia 44 de Barcelona</w:t>
      </w:r>
      <w:r w:rsidR="004A194F" w:rsidRPr="00D0678C">
        <w:rPr>
          <w:i/>
        </w:rPr>
        <w:t xml:space="preserve">, </w:t>
      </w:r>
      <w:r w:rsidR="004A194F" w:rsidRPr="00D0678C">
        <w:t xml:space="preserve">donde resultou uma </w:t>
      </w:r>
      <w:r w:rsidR="004A194F" w:rsidRPr="00D0678C">
        <w:rPr>
          <w:i/>
        </w:rPr>
        <w:t>improcedência</w:t>
      </w:r>
      <w:r w:rsidR="004A194F" w:rsidRPr="00D0678C">
        <w:t xml:space="preserve"> </w:t>
      </w:r>
      <w:r w:rsidR="001C15C2" w:rsidRPr="00D0678C">
        <w:t xml:space="preserve">sobre </w:t>
      </w:r>
      <w:proofErr w:type="gramStart"/>
      <w:r w:rsidR="001C15C2" w:rsidRPr="00D0678C">
        <w:t xml:space="preserve">a </w:t>
      </w:r>
      <w:r w:rsidR="004A194F" w:rsidRPr="00D0678C">
        <w:t xml:space="preserve"> continuação</w:t>
      </w:r>
      <w:proofErr w:type="gramEnd"/>
      <w:r w:rsidR="004A194F" w:rsidRPr="00D0678C">
        <w:t xml:space="preserve"> da execução sobre o remanescente da divida </w:t>
      </w:r>
      <w:r w:rsidR="00960209" w:rsidRPr="00D0678C">
        <w:t>de um  devedor que havia mutuado €</w:t>
      </w:r>
      <w:r w:rsidR="004A194F" w:rsidRPr="00D0678C">
        <w:t>312 500 para a compra de um imóv</w:t>
      </w:r>
      <w:r w:rsidR="00960209" w:rsidRPr="00D0678C">
        <w:t>el, entretanto adjudicado por €</w:t>
      </w:r>
      <w:r w:rsidR="004A194F" w:rsidRPr="00D0678C">
        <w:t xml:space="preserve">156 250 pelo mesmo banco. </w:t>
      </w:r>
      <w:r w:rsidR="001C15C2" w:rsidRPr="00D0678C">
        <w:t xml:space="preserve">Uma vez mais: abuso de direito do Banco. E com a </w:t>
      </w:r>
      <w:r w:rsidR="00960209" w:rsidRPr="00D0678C">
        <w:t>adjudicação</w:t>
      </w:r>
      <w:r w:rsidR="001C15C2" w:rsidRPr="00D0678C">
        <w:t xml:space="preserve"> da casa a divida ficou remida;</w:t>
      </w:r>
    </w:p>
    <w:p w:rsidR="001C15C2" w:rsidRPr="00D0678C" w:rsidRDefault="001C15C2" w:rsidP="00D0678C">
      <w:pPr>
        <w:spacing w:line="360" w:lineRule="auto"/>
        <w:jc w:val="both"/>
      </w:pPr>
      <w:r w:rsidRPr="00D0678C">
        <w:tab/>
      </w:r>
      <w:r w:rsidRPr="00D0678C">
        <w:rPr>
          <w:i/>
        </w:rPr>
        <w:t>(</w:t>
      </w:r>
      <w:proofErr w:type="spellStart"/>
      <w:r w:rsidRPr="00D0678C">
        <w:rPr>
          <w:i/>
        </w:rPr>
        <w:t>iii</w:t>
      </w:r>
      <w:proofErr w:type="spellEnd"/>
      <w:r w:rsidRPr="00D0678C">
        <w:rPr>
          <w:i/>
        </w:rPr>
        <w:t>)</w:t>
      </w:r>
      <w:r w:rsidRPr="00D0678C">
        <w:t xml:space="preserve"> Desta feita, foi a vez um reenvio prejudicial </w:t>
      </w:r>
      <w:r w:rsidR="00BA7D55" w:rsidRPr="00D0678C">
        <w:t xml:space="preserve">do </w:t>
      </w:r>
      <w:proofErr w:type="spellStart"/>
      <w:r w:rsidR="00BA7D55" w:rsidRPr="00D0678C">
        <w:rPr>
          <w:i/>
        </w:rPr>
        <w:t>Juzgado</w:t>
      </w:r>
      <w:proofErr w:type="spellEnd"/>
      <w:r w:rsidR="00BA7D55" w:rsidRPr="00D0678C">
        <w:rPr>
          <w:i/>
        </w:rPr>
        <w:t xml:space="preserve"> de lo Mercantil nº 3 de Barcelona </w:t>
      </w:r>
      <w:r w:rsidR="00BA7D55" w:rsidRPr="00D0678C">
        <w:t>(caso</w:t>
      </w:r>
      <w:r w:rsidR="00BA7D55" w:rsidRPr="00D0678C">
        <w:rPr>
          <w:i/>
        </w:rPr>
        <w:t xml:space="preserve"> Mohamed </w:t>
      </w:r>
      <w:proofErr w:type="spellStart"/>
      <w:r w:rsidR="00BA7D55" w:rsidRPr="00D0678C">
        <w:rPr>
          <w:i/>
        </w:rPr>
        <w:t>aziz</w:t>
      </w:r>
      <w:proofErr w:type="spellEnd"/>
      <w:r w:rsidR="00BA7D55" w:rsidRPr="00D0678C">
        <w:rPr>
          <w:i/>
        </w:rPr>
        <w:t xml:space="preserve"> v. </w:t>
      </w:r>
      <w:proofErr w:type="spellStart"/>
      <w:r w:rsidR="00BA7D55" w:rsidRPr="00D0678C">
        <w:rPr>
          <w:i/>
        </w:rPr>
        <w:t>Catalunyacaixa</w:t>
      </w:r>
      <w:proofErr w:type="spellEnd"/>
      <w:r w:rsidR="00BA7D55" w:rsidRPr="00D0678C">
        <w:t>) ao TJUE</w:t>
      </w:r>
      <w:r w:rsidR="00ED2ABC" w:rsidRPr="00D0678C">
        <w:t xml:space="preserve">, onde eram questionadas as </w:t>
      </w:r>
      <w:r w:rsidR="00DB0480" w:rsidRPr="00D0678C">
        <w:t>cláusulas</w:t>
      </w:r>
      <w:r w:rsidR="00ED2ABC" w:rsidRPr="00D0678C">
        <w:t xml:space="preserve"> abusivas nos contratos celebrados com os consumidores que obstam à discussão no processo executivo das </w:t>
      </w:r>
      <w:r w:rsidR="00DB0480" w:rsidRPr="00D0678C">
        <w:t>cláusulas</w:t>
      </w:r>
      <w:r w:rsidR="00ED2ABC" w:rsidRPr="00D0678C">
        <w:t xml:space="preserve"> abusivas ínsitas nos contratos de empréstimos hipotecários. </w:t>
      </w:r>
      <w:r w:rsidR="00960209" w:rsidRPr="00D0678C">
        <w:t xml:space="preserve">O TJUE considerou que a </w:t>
      </w:r>
      <w:proofErr w:type="spellStart"/>
      <w:r w:rsidR="00960209" w:rsidRPr="00D0678C">
        <w:t>D</w:t>
      </w:r>
      <w:r w:rsidR="00DB0480" w:rsidRPr="00D0678C">
        <w:t>irectiv</w:t>
      </w:r>
      <w:r w:rsidR="00960209" w:rsidRPr="00D0678C">
        <w:t>a</w:t>
      </w:r>
      <w:proofErr w:type="spellEnd"/>
      <w:r w:rsidR="00DB0480" w:rsidRPr="00D0678C">
        <w:t xml:space="preserve"> </w:t>
      </w:r>
      <w:r w:rsidR="00960209" w:rsidRPr="00D0678C">
        <w:t>(entretanto revogada)</w:t>
      </w:r>
      <w:r w:rsidR="00DB0480" w:rsidRPr="00D0678C">
        <w:t xml:space="preserve"> 93/13/CEE do Conselho de 5.4.1993 era incompatível com o clausulado em análise;</w:t>
      </w:r>
      <w:r w:rsidR="00E62E12" w:rsidRPr="00D0678C">
        <w:t xml:space="preserve"> e por fim</w:t>
      </w:r>
    </w:p>
    <w:p w:rsidR="00E62E12" w:rsidRPr="00D0678C" w:rsidRDefault="00E62E12" w:rsidP="00D0678C">
      <w:pPr>
        <w:spacing w:line="360" w:lineRule="auto"/>
        <w:jc w:val="both"/>
      </w:pPr>
      <w:r w:rsidRPr="00D0678C">
        <w:tab/>
      </w:r>
      <w:r w:rsidRPr="00D0678C">
        <w:rPr>
          <w:i/>
        </w:rPr>
        <w:t>(</w:t>
      </w:r>
      <w:proofErr w:type="spellStart"/>
      <w:r w:rsidRPr="00D0678C">
        <w:rPr>
          <w:i/>
        </w:rPr>
        <w:t>iii</w:t>
      </w:r>
      <w:proofErr w:type="spellEnd"/>
      <w:r w:rsidRPr="00D0678C">
        <w:rPr>
          <w:i/>
        </w:rPr>
        <w:t xml:space="preserve">) </w:t>
      </w:r>
      <w:r w:rsidRPr="00D0678C">
        <w:t xml:space="preserve">A sentença do Tribunal do </w:t>
      </w:r>
      <w:proofErr w:type="spellStart"/>
      <w:r w:rsidRPr="00D0678C">
        <w:rPr>
          <w:i/>
        </w:rPr>
        <w:t>Juzgado</w:t>
      </w:r>
      <w:proofErr w:type="spellEnd"/>
      <w:r w:rsidRPr="00D0678C">
        <w:rPr>
          <w:i/>
        </w:rPr>
        <w:t xml:space="preserve"> de </w:t>
      </w:r>
      <w:proofErr w:type="spellStart"/>
      <w:r w:rsidRPr="00D0678C">
        <w:rPr>
          <w:i/>
        </w:rPr>
        <w:t>Primera</w:t>
      </w:r>
      <w:proofErr w:type="spellEnd"/>
      <w:r w:rsidRPr="00D0678C">
        <w:rPr>
          <w:i/>
        </w:rPr>
        <w:t xml:space="preserve"> Instancia e </w:t>
      </w:r>
      <w:proofErr w:type="spellStart"/>
      <w:r w:rsidRPr="00D0678C">
        <w:rPr>
          <w:i/>
        </w:rPr>
        <w:t>Instrucción</w:t>
      </w:r>
      <w:proofErr w:type="spellEnd"/>
      <w:r w:rsidRPr="00D0678C">
        <w:rPr>
          <w:i/>
        </w:rPr>
        <w:t xml:space="preserve"> nº 3 de </w:t>
      </w:r>
      <w:proofErr w:type="spellStart"/>
      <w:r w:rsidRPr="00D0678C">
        <w:rPr>
          <w:i/>
        </w:rPr>
        <w:t>Areyns</w:t>
      </w:r>
      <w:proofErr w:type="spellEnd"/>
      <w:r w:rsidRPr="00D0678C">
        <w:rPr>
          <w:i/>
        </w:rPr>
        <w:t xml:space="preserve"> de Mar, </w:t>
      </w:r>
      <w:r w:rsidRPr="00D0678C">
        <w:t xml:space="preserve">de 22.2.2012, de onde ressaltaram ricochetes para toda a fileira imobiliária (Bancos, mediadores imobiliários e, inclusive, o legislador), apodando o </w:t>
      </w:r>
      <w:proofErr w:type="spellStart"/>
      <w:r w:rsidRPr="00D0678C">
        <w:t>actual</w:t>
      </w:r>
      <w:proofErr w:type="spellEnd"/>
      <w:r w:rsidRPr="00D0678C">
        <w:t xml:space="preserve"> sistema de anacrónico, imobilista e ofensivo dos direitos dos mutuários. De resto, justifica as suas decisões – desgarradas da lei positiva – como forma de repor o equilíbrio contratual</w:t>
      </w:r>
      <w:r w:rsidR="005C7FA3" w:rsidRPr="00D0678C">
        <w:t xml:space="preserve"> – numa espécie de alusão ao Direito N</w:t>
      </w:r>
      <w:r w:rsidRPr="00D0678C">
        <w:t>atural</w:t>
      </w:r>
      <w:r w:rsidR="005C7FA3" w:rsidRPr="00D0678C">
        <w:t xml:space="preserve"> </w:t>
      </w:r>
      <w:r w:rsidR="005C7FA3" w:rsidRPr="00D0678C">
        <w:rPr>
          <w:i/>
        </w:rPr>
        <w:t>vs.</w:t>
      </w:r>
      <w:r w:rsidR="005C7FA3" w:rsidRPr="00D0678C">
        <w:t xml:space="preserve"> Direito Positivo.</w:t>
      </w:r>
      <w:r w:rsidRPr="00D0678C">
        <w:t xml:space="preserve"> </w:t>
      </w:r>
    </w:p>
    <w:p w:rsidR="00272A09" w:rsidRPr="00D0678C" w:rsidRDefault="005C7FA3" w:rsidP="00D0678C">
      <w:pPr>
        <w:spacing w:line="360" w:lineRule="auto"/>
        <w:jc w:val="both"/>
        <w:rPr>
          <w:b/>
        </w:rPr>
      </w:pPr>
      <w:r w:rsidRPr="00D0678C">
        <w:rPr>
          <w:b/>
        </w:rPr>
        <w:lastRenderedPageBreak/>
        <w:tab/>
        <w:t>3. Jurisprudência Portuguesa: a decisão de Portalegre</w:t>
      </w:r>
      <w:r w:rsidR="00D61D38" w:rsidRPr="00D0678C">
        <w:rPr>
          <w:rStyle w:val="FootnoteReference"/>
          <w:b/>
        </w:rPr>
        <w:footnoteReference w:id="73"/>
      </w:r>
      <w:r w:rsidR="0043508B">
        <w:rPr>
          <w:b/>
        </w:rPr>
        <w:t xml:space="preserve"> –</w:t>
      </w:r>
      <w:r w:rsidRPr="00D0678C">
        <w:rPr>
          <w:b/>
          <w:i/>
        </w:rPr>
        <w:t xml:space="preserve"> </w:t>
      </w:r>
      <w:proofErr w:type="spellStart"/>
      <w:r w:rsidRPr="00D0678C">
        <w:rPr>
          <w:b/>
          <w:i/>
        </w:rPr>
        <w:t>study</w:t>
      </w:r>
      <w:proofErr w:type="spellEnd"/>
      <w:r w:rsidR="0043508B">
        <w:rPr>
          <w:b/>
          <w:i/>
        </w:rPr>
        <w:t xml:space="preserve"> case</w:t>
      </w:r>
      <w:r w:rsidRPr="00D0678C">
        <w:rPr>
          <w:b/>
        </w:rPr>
        <w:t xml:space="preserve"> </w:t>
      </w:r>
    </w:p>
    <w:p w:rsidR="007B07B9" w:rsidRPr="00D0678C" w:rsidRDefault="005205E0" w:rsidP="00D0678C">
      <w:pPr>
        <w:spacing w:line="360" w:lineRule="auto"/>
        <w:jc w:val="both"/>
      </w:pPr>
      <w:r w:rsidRPr="00D0678C">
        <w:tab/>
        <w:t xml:space="preserve">O Banco (credor hipotecário) quando celebrou o contrato de mútuo – </w:t>
      </w:r>
      <w:r w:rsidRPr="00D0678C">
        <w:rPr>
          <w:i/>
        </w:rPr>
        <w:t xml:space="preserve">in </w:t>
      </w:r>
      <w:proofErr w:type="spellStart"/>
      <w:r w:rsidRPr="00D0678C">
        <w:rPr>
          <w:i/>
        </w:rPr>
        <w:t>casu</w:t>
      </w:r>
      <w:proofErr w:type="spellEnd"/>
      <w:r w:rsidRPr="00D0678C">
        <w:t xml:space="preserve">, crédito habitação (própria e permanente) – avaliou o imóvel sobre que incidiu a hipoteca. Estamos em crer que, nessa data, o Banco terá sobreavaliado (?!) o imóvel </w:t>
      </w:r>
      <w:proofErr w:type="gramStart"/>
      <w:r w:rsidRPr="00D0678C">
        <w:t>de forma a que</w:t>
      </w:r>
      <w:proofErr w:type="gramEnd"/>
      <w:r w:rsidRPr="00D0678C">
        <w:t xml:space="preserve"> a hipoteca tivesse um </w:t>
      </w:r>
      <w:r w:rsidRPr="00D0678C">
        <w:rPr>
          <w:i/>
        </w:rPr>
        <w:t>valor superior</w:t>
      </w:r>
      <w:r w:rsidRPr="00D0678C">
        <w:t xml:space="preserve"> (ou no mínimo igual) à da quantia mutuada – influenciado pela forma como funciona o sistema de alavancagem bancário. Deste modo, </w:t>
      </w:r>
      <w:r w:rsidR="007B07B9" w:rsidRPr="00D0678C">
        <w:t xml:space="preserve">poderemos ser levados a </w:t>
      </w:r>
      <w:r w:rsidR="004E5305" w:rsidRPr="00D0678C">
        <w:t>entender que</w:t>
      </w:r>
      <w:r w:rsidR="007B07B9" w:rsidRPr="00D0678C">
        <w:t xml:space="preserve"> </w:t>
      </w:r>
      <w:r w:rsidR="000F71AE" w:rsidRPr="00D0678C">
        <w:t xml:space="preserve">a </w:t>
      </w:r>
      <w:r w:rsidR="007B07B9" w:rsidRPr="00D0678C">
        <w:t>expectativa</w:t>
      </w:r>
      <w:r w:rsidR="004E5305" w:rsidRPr="00D0678C">
        <w:t xml:space="preserve"> </w:t>
      </w:r>
      <w:r w:rsidR="006B40E7" w:rsidRPr="00D0678C">
        <w:t>(</w:t>
      </w:r>
      <w:r w:rsidR="004E5305" w:rsidRPr="00D0678C">
        <w:t>errada!)</w:t>
      </w:r>
      <w:r w:rsidR="006B40E7" w:rsidRPr="00D0678C">
        <w:t xml:space="preserve"> criada no mutuário seria que</w:t>
      </w:r>
      <w:r w:rsidR="007B07B9" w:rsidRPr="00D0678C">
        <w:t xml:space="preserve"> em caso de inadimplemento e execução judicial – a entrega da casa liquidaria a divida. Arrogará o mutuário – </w:t>
      </w:r>
      <w:r w:rsidR="007B07B9" w:rsidRPr="00D0678C">
        <w:rPr>
          <w:i/>
        </w:rPr>
        <w:t>abuso de direito</w:t>
      </w:r>
      <w:r w:rsidR="007B07B9" w:rsidRPr="00D0678C">
        <w:t xml:space="preserve"> – por o Banco vir posteriormente contra </w:t>
      </w:r>
      <w:r w:rsidR="006B40E7" w:rsidRPr="00D0678C">
        <w:t xml:space="preserve">um </w:t>
      </w:r>
      <w:proofErr w:type="gramStart"/>
      <w:r w:rsidR="007B07B9" w:rsidRPr="00D0678C">
        <w:t>facto  próprio</w:t>
      </w:r>
      <w:proofErr w:type="gramEnd"/>
      <w:r w:rsidR="006B40E7" w:rsidRPr="00D0678C">
        <w:t xml:space="preserve"> (prévia avaliação imobiliária a preços de mercado)</w:t>
      </w:r>
      <w:r w:rsidR="007B07B9" w:rsidRPr="00D0678C">
        <w:t xml:space="preserve"> </w:t>
      </w:r>
      <w:r w:rsidR="000F71AE" w:rsidRPr="00D0678C">
        <w:t xml:space="preserve">não vale! </w:t>
      </w:r>
      <w:r w:rsidR="007B07B9" w:rsidRPr="00D0678C">
        <w:t xml:space="preserve">– </w:t>
      </w:r>
      <w:proofErr w:type="spellStart"/>
      <w:proofErr w:type="gramStart"/>
      <w:r w:rsidR="007B07B9" w:rsidRPr="00D0678C">
        <w:rPr>
          <w:i/>
        </w:rPr>
        <w:t>venire</w:t>
      </w:r>
      <w:proofErr w:type="spellEnd"/>
      <w:proofErr w:type="gramEnd"/>
      <w:r w:rsidR="007B07B9" w:rsidRPr="00D0678C">
        <w:rPr>
          <w:i/>
        </w:rPr>
        <w:t xml:space="preserve"> contra </w:t>
      </w:r>
      <w:proofErr w:type="spellStart"/>
      <w:r w:rsidR="007B07B9" w:rsidRPr="00D0678C">
        <w:rPr>
          <w:i/>
        </w:rPr>
        <w:t>factum</w:t>
      </w:r>
      <w:proofErr w:type="spellEnd"/>
      <w:r w:rsidR="007B07B9" w:rsidRPr="00D0678C">
        <w:rPr>
          <w:i/>
        </w:rPr>
        <w:t xml:space="preserve"> </w:t>
      </w:r>
      <w:proofErr w:type="spellStart"/>
      <w:r w:rsidR="007B07B9" w:rsidRPr="00D0678C">
        <w:rPr>
          <w:i/>
        </w:rPr>
        <w:t>proprium</w:t>
      </w:r>
      <w:proofErr w:type="spellEnd"/>
      <w:r w:rsidR="007B07B9" w:rsidRPr="00D0678C">
        <w:rPr>
          <w:i/>
        </w:rPr>
        <w:t xml:space="preserve"> non </w:t>
      </w:r>
      <w:proofErr w:type="spellStart"/>
      <w:r w:rsidR="007B07B9" w:rsidRPr="00D0678C">
        <w:rPr>
          <w:i/>
        </w:rPr>
        <w:t>valet</w:t>
      </w:r>
      <w:proofErr w:type="spellEnd"/>
      <w:r w:rsidR="007B07B9" w:rsidRPr="00D0678C">
        <w:t>.</w:t>
      </w:r>
      <w:r w:rsidR="00C05266" w:rsidRPr="00D0678C">
        <w:t xml:space="preserve"> Não podemos acolher esta “visão”</w:t>
      </w:r>
      <w:r w:rsidR="005A3697" w:rsidRPr="00D0678C">
        <w:t>.</w:t>
      </w:r>
      <w:r w:rsidR="00C05266" w:rsidRPr="00D0678C">
        <w:t xml:space="preserve"> </w:t>
      </w:r>
      <w:r w:rsidR="005A3697" w:rsidRPr="00D0678C">
        <w:t>V</w:t>
      </w:r>
      <w:r w:rsidR="00C05266" w:rsidRPr="00D0678C">
        <w:t>ejamos</w:t>
      </w:r>
      <w:r w:rsidR="00834F04" w:rsidRPr="00D0678C">
        <w:t>,</w:t>
      </w:r>
      <w:r w:rsidR="00C05266" w:rsidRPr="00D0678C">
        <w:t xml:space="preserve"> </w:t>
      </w:r>
      <w:r w:rsidR="00834F04" w:rsidRPr="00D0678C">
        <w:t xml:space="preserve">com humildade, o </w:t>
      </w:r>
      <w:r w:rsidR="00C05266" w:rsidRPr="00D0678C">
        <w:t>porquê</w:t>
      </w:r>
      <w:r w:rsidR="00834F04" w:rsidRPr="00D0678C">
        <w:t>, quanto a nós, de o banco não agir em abuso de direito.</w:t>
      </w:r>
    </w:p>
    <w:p w:rsidR="00973B70" w:rsidRPr="00D0678C" w:rsidRDefault="00C05266" w:rsidP="00D0678C">
      <w:pPr>
        <w:spacing w:line="360" w:lineRule="auto"/>
        <w:jc w:val="both"/>
      </w:pPr>
      <w:r w:rsidRPr="00D0678C">
        <w:tab/>
        <w:t xml:space="preserve">Como bem ensina o saudoso </w:t>
      </w:r>
      <w:r w:rsidR="00F96868" w:rsidRPr="00D0678C">
        <w:t xml:space="preserve">mas sempre presente </w:t>
      </w:r>
      <w:r w:rsidRPr="00D0678C">
        <w:t xml:space="preserve">Professor </w:t>
      </w:r>
      <w:r w:rsidRPr="00D0678C">
        <w:rPr>
          <w:smallCaps/>
        </w:rPr>
        <w:t xml:space="preserve">Heinrich </w:t>
      </w:r>
      <w:proofErr w:type="spellStart"/>
      <w:r w:rsidRPr="00D0678C">
        <w:rPr>
          <w:smallCaps/>
        </w:rPr>
        <w:t>Horster</w:t>
      </w:r>
      <w:proofErr w:type="spellEnd"/>
      <w:r w:rsidR="00F96868" w:rsidRPr="00D0678C">
        <w:rPr>
          <w:smallCaps/>
        </w:rPr>
        <w:t xml:space="preserve">, </w:t>
      </w:r>
      <w:r w:rsidR="006412E6" w:rsidRPr="00D0678C">
        <w:t>exercício</w:t>
      </w:r>
      <w:r w:rsidR="00F96868" w:rsidRPr="00D0678C">
        <w:t xml:space="preserve"> de um direito </w:t>
      </w:r>
      <w:proofErr w:type="spellStart"/>
      <w:r w:rsidR="00F96868" w:rsidRPr="00D0678C">
        <w:t>subjectivo</w:t>
      </w:r>
      <w:proofErr w:type="spellEnd"/>
      <w:r w:rsidR="00F96868" w:rsidRPr="00D0678C">
        <w:t xml:space="preserve"> deve situar-se dentro dos limites da </w:t>
      </w:r>
      <w:r w:rsidR="00590722" w:rsidRPr="00D0678C">
        <w:t>boa-fé</w:t>
      </w:r>
      <w:r w:rsidR="00F96868" w:rsidRPr="00D0678C">
        <w:t>, dos bons costumes e ser conforme com o fim social ou económico que a lei conferiu a esse direito, e sempre que há extrapolação desse limites há abuso de direito (</w:t>
      </w:r>
      <w:proofErr w:type="spellStart"/>
      <w:r w:rsidR="00F96868" w:rsidRPr="00D0678C">
        <w:t>art</w:t>
      </w:r>
      <w:proofErr w:type="spellEnd"/>
      <w:r w:rsidR="00F96868" w:rsidRPr="00D0678C">
        <w:t>. 334º CC)</w:t>
      </w:r>
      <w:r w:rsidR="00834F04" w:rsidRPr="00D0678C">
        <w:rPr>
          <w:rStyle w:val="FootnoteReference"/>
        </w:rPr>
        <w:footnoteReference w:id="74"/>
      </w:r>
      <w:r w:rsidR="00590722" w:rsidRPr="00D0678C">
        <w:t xml:space="preserve">. Nos termos do </w:t>
      </w:r>
      <w:proofErr w:type="spellStart"/>
      <w:r w:rsidR="00590722" w:rsidRPr="00D0678C">
        <w:t>art</w:t>
      </w:r>
      <w:proofErr w:type="spellEnd"/>
      <w:r w:rsidR="00590722" w:rsidRPr="00D0678C">
        <w:t>. 817º CC, não sendo a obrigação voluntariamente cumprida, tem o credor (</w:t>
      </w:r>
      <w:r w:rsidR="00590722" w:rsidRPr="00D0678C">
        <w:rPr>
          <w:i/>
        </w:rPr>
        <w:t xml:space="preserve">in </w:t>
      </w:r>
      <w:proofErr w:type="spellStart"/>
      <w:r w:rsidR="00590722" w:rsidRPr="00D0678C">
        <w:rPr>
          <w:i/>
        </w:rPr>
        <w:t>casu</w:t>
      </w:r>
      <w:proofErr w:type="spellEnd"/>
      <w:r w:rsidR="00590722" w:rsidRPr="00D0678C">
        <w:t xml:space="preserve">, hipotecário) o direito de exigir judicialmente o seu cumprimento e de executar o património do devedor, nos termos da lei do processo (recorrendo à </w:t>
      </w:r>
      <w:proofErr w:type="spellStart"/>
      <w:r w:rsidR="00590722" w:rsidRPr="00D0678C">
        <w:t>acção</w:t>
      </w:r>
      <w:proofErr w:type="spellEnd"/>
      <w:r w:rsidR="00590722" w:rsidRPr="00D0678C">
        <w:t xml:space="preserve"> executiva). Ora, em sede executiva, na fase da venda do bem imóvel onerado com a hipoteca, a proposta poderá ser feita por um terceiro qualquer; e a adjudicação poderá </w:t>
      </w:r>
      <w:r w:rsidR="00590722" w:rsidRPr="00D0678C">
        <w:lastRenderedPageBreak/>
        <w:t>ser feita pelo exequente ou pelo credor com garantia hipotecária</w:t>
      </w:r>
      <w:r w:rsidR="00590722" w:rsidRPr="00D0678C">
        <w:rPr>
          <w:rStyle w:val="FootnoteReference"/>
        </w:rPr>
        <w:footnoteReference w:id="75"/>
      </w:r>
      <w:r w:rsidR="004337F7" w:rsidRPr="00D0678C">
        <w:t xml:space="preserve">. </w:t>
      </w:r>
      <w:r w:rsidR="00973B70" w:rsidRPr="00D0678C">
        <w:t>Apesar de tudo</w:t>
      </w:r>
      <w:r w:rsidR="004337F7" w:rsidRPr="00D0678C">
        <w:t xml:space="preserve">, </w:t>
      </w:r>
      <w:r w:rsidR="004337F7" w:rsidRPr="00D0678C">
        <w:rPr>
          <w:i/>
        </w:rPr>
        <w:t>todos os proponentes estão sujeitos ao preço mínimo da venda</w:t>
      </w:r>
      <w:r w:rsidR="004337F7" w:rsidRPr="00D0678C">
        <w:rPr>
          <w:rStyle w:val="FootnoteReference"/>
          <w:i/>
        </w:rPr>
        <w:footnoteReference w:id="76"/>
      </w:r>
      <w:r w:rsidR="004337F7" w:rsidRPr="00D0678C">
        <w:rPr>
          <w:i/>
        </w:rPr>
        <w:t>,</w:t>
      </w:r>
      <w:r w:rsidR="004337F7" w:rsidRPr="00D0678C">
        <w:t xml:space="preserve"> </w:t>
      </w:r>
      <w:r w:rsidR="00973B70" w:rsidRPr="00D0678C">
        <w:t xml:space="preserve">e, </w:t>
      </w:r>
      <w:proofErr w:type="spellStart"/>
      <w:r w:rsidR="00973B70" w:rsidRPr="00D0678C">
        <w:t>acrescidamente</w:t>
      </w:r>
      <w:proofErr w:type="spellEnd"/>
      <w:r w:rsidR="00973B70" w:rsidRPr="00D0678C">
        <w:t xml:space="preserve"> do lado do Banco Exequente, o imóvel só lhe poderá ser adjudicado desde que não </w:t>
      </w:r>
      <w:r w:rsidR="006978E7" w:rsidRPr="00D0678C">
        <w:t xml:space="preserve">surja nenhuma proposta mais elevada, </w:t>
      </w:r>
      <w:r w:rsidR="00973B70" w:rsidRPr="00D0678C">
        <w:t xml:space="preserve">pelo que o bem será vendido – </w:t>
      </w:r>
      <w:r w:rsidR="00337069" w:rsidRPr="00D0678C">
        <w:t>“</w:t>
      </w:r>
      <w:r w:rsidR="00955B2E" w:rsidRPr="00D0678C">
        <w:t>à vista</w:t>
      </w:r>
      <w:r w:rsidR="00973B70" w:rsidRPr="00D0678C">
        <w:t xml:space="preserve"> de todos</w:t>
      </w:r>
      <w:r w:rsidR="00337069" w:rsidRPr="00D0678C">
        <w:t>”</w:t>
      </w:r>
      <w:r w:rsidR="00973B70" w:rsidRPr="00D0678C">
        <w:t xml:space="preserve"> – pel</w:t>
      </w:r>
      <w:r w:rsidR="00955B2E" w:rsidRPr="00D0678C">
        <w:t>a</w:t>
      </w:r>
      <w:r w:rsidR="00973B70" w:rsidRPr="00D0678C">
        <w:t xml:space="preserve"> melhor oferta de mercado.</w:t>
      </w:r>
    </w:p>
    <w:p w:rsidR="00BC37B1" w:rsidRPr="00D0678C" w:rsidRDefault="00BC37B1" w:rsidP="00D0678C">
      <w:pPr>
        <w:spacing w:line="360" w:lineRule="auto"/>
        <w:jc w:val="both"/>
      </w:pPr>
      <w:r w:rsidRPr="00D0678C">
        <w:tab/>
        <w:t xml:space="preserve"> Ainda que fossemos tributários do abuso de direito – partido que não tomamos </w:t>
      </w:r>
      <w:r w:rsidR="00F011C1" w:rsidRPr="00D0678C">
        <w:t xml:space="preserve">parte </w:t>
      </w:r>
      <w:r w:rsidRPr="00D0678C">
        <w:t xml:space="preserve">– teríamos dificuldade em sustentar tal posição se o imóvel fosse adquirido por um terceiro, tal como aventa a Professora </w:t>
      </w:r>
      <w:r w:rsidRPr="00D0678C">
        <w:rPr>
          <w:smallCaps/>
        </w:rPr>
        <w:t>Isabel Menéres Campos:</w:t>
      </w:r>
      <w:r w:rsidR="00337069" w:rsidRPr="00D0678C">
        <w:rPr>
          <w:smallCaps/>
        </w:rPr>
        <w:t>”</w:t>
      </w:r>
      <w:proofErr w:type="gramStart"/>
      <w:r w:rsidRPr="00D0678C">
        <w:rPr>
          <w:smallCaps/>
        </w:rPr>
        <w:t>[</w:t>
      </w:r>
      <w:r w:rsidRPr="00D0678C">
        <w:t>s</w:t>
      </w:r>
      <w:proofErr w:type="gramEnd"/>
      <w:r w:rsidRPr="00D0678C">
        <w:rPr>
          <w:smallCaps/>
        </w:rPr>
        <w:t>]</w:t>
      </w:r>
      <w:r w:rsidRPr="00D0678C">
        <w:t>e fosse, ao invés do banco, um qualquer terceiro a oferecer a mesma quantia, o tribunal não teria, certamente, o mesmo discurso [situaç</w:t>
      </w:r>
      <w:r w:rsidR="00DE331A" w:rsidRPr="00D0678C">
        <w:t xml:space="preserve">ão </w:t>
      </w:r>
      <w:r w:rsidRPr="00D0678C">
        <w:t>fáctica de abuso de direito]</w:t>
      </w:r>
      <w:r w:rsidR="00DE331A" w:rsidRPr="00D0678C">
        <w:t>. E quer os devedores, quer o banco estariam na mesma posição no que respeita à imputação do valor da adjudicação à divida”</w:t>
      </w:r>
      <w:r w:rsidR="00DE331A" w:rsidRPr="00D0678C">
        <w:rPr>
          <w:rStyle w:val="FootnoteReference"/>
          <w:smallCaps/>
        </w:rPr>
        <w:footnoteReference w:id="77"/>
      </w:r>
      <w:r w:rsidR="00DE331A" w:rsidRPr="00D0678C">
        <w:t xml:space="preserve">. E continua a </w:t>
      </w:r>
      <w:proofErr w:type="spellStart"/>
      <w:proofErr w:type="gramStart"/>
      <w:r w:rsidR="00DE331A" w:rsidRPr="00D0678C">
        <w:t>A</w:t>
      </w:r>
      <w:proofErr w:type="spellEnd"/>
      <w:r w:rsidR="00DE331A" w:rsidRPr="00D0678C">
        <w:t>.</w:t>
      </w:r>
      <w:proofErr w:type="gramEnd"/>
      <w:r w:rsidR="00DE331A" w:rsidRPr="00D0678C">
        <w:t>: “</w:t>
      </w:r>
      <w:proofErr w:type="gramStart"/>
      <w:r w:rsidR="00DE331A" w:rsidRPr="00D0678C">
        <w:t>[a</w:t>
      </w:r>
      <w:proofErr w:type="gramEnd"/>
      <w:r w:rsidR="00DE331A" w:rsidRPr="00D0678C">
        <w:t xml:space="preserve">] decisão faz […] um raciocínio </w:t>
      </w:r>
      <w:proofErr w:type="spellStart"/>
      <w:r w:rsidR="00DE331A" w:rsidRPr="00D0678C">
        <w:t>incorrecto</w:t>
      </w:r>
      <w:proofErr w:type="spellEnd"/>
      <w:r w:rsidR="00DE331A" w:rsidRPr="00D0678C">
        <w:t xml:space="preserve"> ao presumir uma vantagem desproporcionada a favor do banco que só existiria se, comprovadamente, viesse a demonstrado que o </w:t>
      </w:r>
      <w:r w:rsidR="00DE331A" w:rsidRPr="00D0678C">
        <w:rPr>
          <w:i/>
        </w:rPr>
        <w:t>valor real</w:t>
      </w:r>
      <w:r w:rsidR="00DE331A" w:rsidRPr="00D0678C">
        <w:t xml:space="preserve"> [a preços de mercado] </w:t>
      </w:r>
      <w:proofErr w:type="spellStart"/>
      <w:r w:rsidR="00DE331A" w:rsidRPr="00D0678C">
        <w:rPr>
          <w:i/>
        </w:rPr>
        <w:t>actual</w:t>
      </w:r>
      <w:proofErr w:type="spellEnd"/>
      <w:r w:rsidR="00DE331A" w:rsidRPr="00D0678C">
        <w:rPr>
          <w:i/>
        </w:rPr>
        <w:t xml:space="preserve"> do imóvel adquirido pelo banco era muito superior ao valor da aquisiç</w:t>
      </w:r>
      <w:r w:rsidR="00F011C1" w:rsidRPr="00D0678C">
        <w:rPr>
          <w:i/>
        </w:rPr>
        <w:t>ão”</w:t>
      </w:r>
      <w:r w:rsidR="00DE331A" w:rsidRPr="00D0678C">
        <w:t xml:space="preserve"> [sublinhado nosso]. </w:t>
      </w:r>
      <w:r w:rsidR="00FE3E95" w:rsidRPr="00D0678C">
        <w:t>(</w:t>
      </w:r>
      <w:r w:rsidR="00DE331A" w:rsidRPr="00D0678C">
        <w:t xml:space="preserve">Fazemos destas </w:t>
      </w:r>
      <w:r w:rsidR="00F011C1" w:rsidRPr="00D0678C">
        <w:t xml:space="preserve">sábias e prudentes </w:t>
      </w:r>
      <w:r w:rsidR="00DE331A" w:rsidRPr="00D0678C">
        <w:t>palavras as nossas</w:t>
      </w:r>
      <w:r w:rsidR="00DE331A" w:rsidRPr="00D0678C">
        <w:rPr>
          <w:rStyle w:val="FootnoteReference"/>
        </w:rPr>
        <w:footnoteReference w:id="78"/>
      </w:r>
      <w:r w:rsidR="00F011C1" w:rsidRPr="00D0678C">
        <w:t>.</w:t>
      </w:r>
      <w:r w:rsidR="00FE3E95" w:rsidRPr="00D0678C">
        <w:t>)</w:t>
      </w:r>
      <w:r w:rsidR="00DE331A" w:rsidRPr="00D0678C">
        <w:t xml:space="preserve"> </w:t>
      </w:r>
    </w:p>
    <w:p w:rsidR="00934739" w:rsidRPr="00D0678C" w:rsidRDefault="00934739" w:rsidP="0043508B">
      <w:pPr>
        <w:spacing w:line="360" w:lineRule="auto"/>
        <w:ind w:firstLine="708"/>
        <w:jc w:val="both"/>
      </w:pPr>
      <w:r w:rsidRPr="00D0678C">
        <w:t>Retomando</w:t>
      </w:r>
      <w:r w:rsidR="00FE3E95" w:rsidRPr="00D0678C">
        <w:t>, no caso de o imóvel ser adjudicado por um terceiro</w:t>
      </w:r>
      <w:r w:rsidRPr="00D0678C">
        <w:t xml:space="preserve"> nos termos da lei processual</w:t>
      </w:r>
      <w:r w:rsidR="00FE3E95" w:rsidRPr="00D0678C">
        <w:t xml:space="preserve">, o Banco já não ficaria com o imóvel alocado no seu património, mas sim com uma quantia pecuniária depositada pelo adjudicante (terceiro comprador) </w:t>
      </w:r>
      <w:r w:rsidRPr="00D0678C">
        <w:t xml:space="preserve">pelo que era razoável e legalmente admissível que o banco prosseguisse com a execução sobre o </w:t>
      </w:r>
      <w:r w:rsidRPr="00D0678C">
        <w:lastRenderedPageBreak/>
        <w:t>remanescente da divida</w:t>
      </w:r>
      <w:r w:rsidRPr="00D0678C">
        <w:rPr>
          <w:rStyle w:val="FootnoteReference"/>
        </w:rPr>
        <w:footnoteReference w:id="79"/>
      </w:r>
      <w:r w:rsidRPr="00D0678C">
        <w:t xml:space="preserve"> – afastando </w:t>
      </w:r>
      <w:r w:rsidRPr="00D0678C">
        <w:rPr>
          <w:i/>
        </w:rPr>
        <w:t xml:space="preserve">in </w:t>
      </w:r>
      <w:proofErr w:type="spellStart"/>
      <w:r w:rsidRPr="00D0678C">
        <w:rPr>
          <w:i/>
        </w:rPr>
        <w:t>totum</w:t>
      </w:r>
      <w:proofErr w:type="spellEnd"/>
      <w:r w:rsidRPr="00D0678C">
        <w:t xml:space="preserve"> qualquer veleidade relativamente ao enriquecimento sem causa por parte bom Banco</w:t>
      </w:r>
      <w:r w:rsidRPr="00D0678C">
        <w:rPr>
          <w:rStyle w:val="FootnoteReference"/>
        </w:rPr>
        <w:footnoteReference w:id="80"/>
      </w:r>
      <w:r w:rsidRPr="00D0678C">
        <w:t xml:space="preserve">. </w:t>
      </w:r>
    </w:p>
    <w:p w:rsidR="00934739" w:rsidRPr="00D0678C" w:rsidRDefault="00934739" w:rsidP="00D0678C">
      <w:pPr>
        <w:spacing w:line="360" w:lineRule="auto"/>
        <w:jc w:val="both"/>
      </w:pPr>
      <w:r w:rsidRPr="00D0678C">
        <w:tab/>
      </w:r>
      <w:r w:rsidR="00D57BDE" w:rsidRPr="00D0678C">
        <w:t xml:space="preserve">Merece-nos, agora, especial destaque para a figura </w:t>
      </w:r>
      <w:r w:rsidR="00D57BDE" w:rsidRPr="00D0678C">
        <w:rPr>
          <w:i/>
        </w:rPr>
        <w:t>dação em cumprimento</w:t>
      </w:r>
      <w:r w:rsidR="00D57BDE" w:rsidRPr="00D0678C">
        <w:rPr>
          <w:rStyle w:val="FootnoteReference"/>
        </w:rPr>
        <w:footnoteReference w:id="81"/>
      </w:r>
      <w:r w:rsidR="00D57BDE" w:rsidRPr="00D0678C">
        <w:t xml:space="preserve">. Poderíamos, precipitadamente, cair no logro, e acharmos que a adjudicação do banco seria uma dação em cumprimento. Mas vejamos: </w:t>
      </w:r>
      <w:r w:rsidR="00CE6626" w:rsidRPr="00D0678C">
        <w:t>“</w:t>
      </w:r>
      <w:proofErr w:type="gramStart"/>
      <w:r w:rsidR="00CE6626" w:rsidRPr="00D0678C">
        <w:t>[d</w:t>
      </w:r>
      <w:proofErr w:type="gramEnd"/>
      <w:r w:rsidR="00CE6626" w:rsidRPr="00D0678C">
        <w:t xml:space="preserve">]ada a configuração da adjudicação como um caso de venda executiva, o apuramento do preço desta com total independência do montante do crédito do adjudicatário e o regime vigente quanto à dispensa do deposito do preço, não estarmos tanto em face duma </w:t>
      </w:r>
      <w:r w:rsidR="00CE6626" w:rsidRPr="00D0678C">
        <w:rPr>
          <w:i/>
        </w:rPr>
        <w:t>dação em cumprimento</w:t>
      </w:r>
      <w:r w:rsidR="00CE6626" w:rsidRPr="00D0678C">
        <w:t xml:space="preserve"> [</w:t>
      </w:r>
      <w:r w:rsidR="00EE06CB" w:rsidRPr="00D0678C">
        <w:t>mas antes</w:t>
      </w:r>
      <w:r w:rsidR="00CE6626" w:rsidRPr="00D0678C">
        <w:t>]</w:t>
      </w:r>
      <w:r w:rsidR="00EE06CB" w:rsidRPr="00D0678C">
        <w:t xml:space="preserve"> dum negocio jurídico autónomo gerador de compensação”</w:t>
      </w:r>
      <w:r w:rsidR="00D57BDE" w:rsidRPr="00D0678C">
        <w:rPr>
          <w:rStyle w:val="FootnoteReference"/>
        </w:rPr>
        <w:footnoteReference w:id="82"/>
      </w:r>
      <w:r w:rsidR="00EE06CB" w:rsidRPr="00D0678C">
        <w:t xml:space="preserve">, </w:t>
      </w:r>
      <w:proofErr w:type="gramStart"/>
      <w:r w:rsidR="00EE06CB" w:rsidRPr="00D0678C">
        <w:t>assim</w:t>
      </w:r>
      <w:proofErr w:type="gramEnd"/>
      <w:r w:rsidR="00EE06CB" w:rsidRPr="00D0678C">
        <w:t xml:space="preserve"> julgamos que a execução deve </w:t>
      </w:r>
      <w:r w:rsidR="00EE06CB" w:rsidRPr="00D0678C">
        <w:rPr>
          <w:i/>
        </w:rPr>
        <w:t>prosseguir</w:t>
      </w:r>
      <w:r w:rsidR="00EE06CB" w:rsidRPr="00D0678C">
        <w:t xml:space="preserve"> sobre o remanescente da divida.</w:t>
      </w:r>
    </w:p>
    <w:p w:rsidR="00EE06CB" w:rsidRPr="00D0678C" w:rsidRDefault="00EE06CB" w:rsidP="00D0678C">
      <w:pPr>
        <w:spacing w:line="360" w:lineRule="auto"/>
        <w:jc w:val="both"/>
      </w:pPr>
      <w:r w:rsidRPr="00D0678C">
        <w:tab/>
      </w:r>
      <w:r w:rsidR="004E17E1" w:rsidRPr="00D0678C">
        <w:t>Com efeito</w:t>
      </w:r>
      <w:r w:rsidRPr="00D0678C">
        <w:t xml:space="preserve">, </w:t>
      </w:r>
      <w:r w:rsidR="00AD6DB8" w:rsidRPr="00D0678C">
        <w:t xml:space="preserve">e concluindo, </w:t>
      </w:r>
      <w:r w:rsidRPr="00D0678C">
        <w:t>julgamos que, à luz do direito material e processual, a prossecução da execução para pagamento do remanescente da divida não consti</w:t>
      </w:r>
      <w:r w:rsidR="000E2958" w:rsidRPr="00D0678C">
        <w:t>tui, da parte do banco, um comportamento abusivo e injustificado.</w:t>
      </w:r>
    </w:p>
    <w:p w:rsidR="00F277A8" w:rsidRPr="00D0678C" w:rsidRDefault="00934739" w:rsidP="00D0678C">
      <w:pPr>
        <w:spacing w:line="360" w:lineRule="auto"/>
        <w:jc w:val="both"/>
        <w:rPr>
          <w:b/>
        </w:rPr>
      </w:pPr>
      <w:r w:rsidRPr="00D0678C">
        <w:t xml:space="preserve"> </w:t>
      </w:r>
      <w:r w:rsidR="004E17E1" w:rsidRPr="00D0678C">
        <w:tab/>
      </w:r>
      <w:r w:rsidR="00AD6DB8" w:rsidRPr="00D0678C">
        <w:rPr>
          <w:b/>
        </w:rPr>
        <w:t>4. Limitação da responsabilidade do</w:t>
      </w:r>
      <w:r w:rsidR="00F277A8" w:rsidRPr="00D0678C">
        <w:rPr>
          <w:b/>
        </w:rPr>
        <w:t xml:space="preserve"> mutuário em virtude do escopo do contrato</w:t>
      </w:r>
    </w:p>
    <w:p w:rsidR="00AD6DB8" w:rsidRPr="00D0678C" w:rsidRDefault="00AD6DB8" w:rsidP="00D0678C">
      <w:pPr>
        <w:spacing w:line="360" w:lineRule="auto"/>
        <w:ind w:firstLine="708"/>
        <w:jc w:val="both"/>
      </w:pPr>
      <w:r w:rsidRPr="00D0678C">
        <w:t>Outra forma de impedir o execução do Banco sobre o remanescente da divida após adjudicação poderá ser a consideração do crédito habitação como sendo um mútuo de escopo. Temos de pedir ajuda. Assim seja.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</w:r>
      <w:r w:rsidR="007F1CC5" w:rsidRPr="00D0678C">
        <w:rPr>
          <w:smallCaps/>
        </w:rPr>
        <w:t>Menezes Cordeiro</w:t>
      </w:r>
      <w:r w:rsidR="007F1CC5" w:rsidRPr="00D0678C">
        <w:t xml:space="preserve"> </w:t>
      </w:r>
      <w:r w:rsidR="001B0219" w:rsidRPr="00D0678C">
        <w:t xml:space="preserve">ensina que </w:t>
      </w:r>
      <w:r w:rsidRPr="00D0678C">
        <w:t>“</w:t>
      </w:r>
      <w:proofErr w:type="gramStart"/>
      <w:r w:rsidR="001B0219" w:rsidRPr="00D0678C">
        <w:t>[o</w:t>
      </w:r>
      <w:proofErr w:type="gramEnd"/>
      <w:r w:rsidR="001B0219" w:rsidRPr="00D0678C">
        <w:t>]</w:t>
      </w:r>
      <w:r w:rsidRPr="00D0678C">
        <w:t xml:space="preserve"> mútuo bancário </w:t>
      </w:r>
      <w:r w:rsidR="001B0219" w:rsidRPr="00D0678C">
        <w:t>[tem]</w:t>
      </w:r>
      <w:r w:rsidRPr="00D0678C">
        <w:t xml:space="preserve"> a particularidade importante de ser um mútuo de escopo, isto é: um mútuo no qual, contratualmente, o mutuário fica adstrito a dar um determinado</w:t>
      </w:r>
      <w:r w:rsidR="00F2388A" w:rsidRPr="00D0678C">
        <w:t xml:space="preserve"> </w:t>
      </w:r>
      <w:proofErr w:type="gramStart"/>
      <w:r w:rsidR="00F2388A" w:rsidRPr="00D0678C">
        <w:t>destino</w:t>
      </w:r>
      <w:proofErr w:type="gramEnd"/>
      <w:r w:rsidR="00F2388A" w:rsidRPr="00D0678C">
        <w:t xml:space="preserve"> à importância </w:t>
      </w:r>
      <w:r w:rsidR="001B0219" w:rsidRPr="00D0678C">
        <w:t>recebida</w:t>
      </w:r>
      <w:r w:rsidR="00F2388A" w:rsidRPr="00D0678C">
        <w:t>”</w:t>
      </w:r>
      <w:r w:rsidRPr="00D0678C">
        <w:rPr>
          <w:rStyle w:val="FootnoteReference"/>
        </w:rPr>
        <w:footnoteReference w:id="83"/>
      </w:r>
      <w:r w:rsidR="009613C0" w:rsidRPr="00D0678C">
        <w:t>. No ca</w:t>
      </w:r>
      <w:r w:rsidRPr="00D0678C">
        <w:t>so particular do crédito à habitação, regulado pelo Decreto-lei 349/98, o es</w:t>
      </w:r>
      <w:r w:rsidR="009613C0" w:rsidRPr="00D0678C">
        <w:t xml:space="preserve">copo do contrato assume relevo. </w:t>
      </w:r>
      <w:r w:rsidRPr="00D0678C">
        <w:t xml:space="preserve">Conforme </w:t>
      </w:r>
      <w:r w:rsidR="009613C0" w:rsidRPr="00D0678C">
        <w:t>sugere o mesmo A.</w:t>
      </w:r>
      <w:r w:rsidRPr="00D0678C">
        <w:t xml:space="preserve">, a inserção de uma cláusula de escopo do contrato de mútuo redunda num dever do mutuário, </w:t>
      </w:r>
      <w:r w:rsidR="00F424F0" w:rsidRPr="00D0678C">
        <w:t>que</w:t>
      </w:r>
      <w:r w:rsidR="009613C0" w:rsidRPr="00D0678C">
        <w:t xml:space="preserve"> desemboca numa </w:t>
      </w:r>
      <w:r w:rsidR="009613C0" w:rsidRPr="00D0678C">
        <w:rPr>
          <w:i/>
        </w:rPr>
        <w:t>vertente pú</w:t>
      </w:r>
      <w:r w:rsidRPr="00D0678C">
        <w:rPr>
          <w:i/>
        </w:rPr>
        <w:t>blica</w:t>
      </w:r>
      <w:r w:rsidRPr="00D0678C">
        <w:t xml:space="preserve"> – na lógica do dirigismo bancário, quando </w:t>
      </w:r>
      <w:r w:rsidR="00FF4CC3" w:rsidRPr="00D0678C">
        <w:t>os Estados intervêm</w:t>
      </w:r>
      <w:r w:rsidRPr="00D0678C">
        <w:t xml:space="preserve"> de modo a </w:t>
      </w:r>
      <w:proofErr w:type="spellStart"/>
      <w:r w:rsidRPr="00D0678C">
        <w:t>direc</w:t>
      </w:r>
      <w:r w:rsidR="00FF4CC3" w:rsidRPr="00D0678C">
        <w:t>c</w:t>
      </w:r>
      <w:r w:rsidRPr="00D0678C">
        <w:t>ionar</w:t>
      </w:r>
      <w:proofErr w:type="spellEnd"/>
      <w:r w:rsidRPr="00D0678C">
        <w:t xml:space="preserve"> o crédito para determinados sectores; e numa </w:t>
      </w:r>
      <w:r w:rsidRPr="00D0678C">
        <w:rPr>
          <w:i/>
        </w:rPr>
        <w:t>vertente privada</w:t>
      </w:r>
      <w:r w:rsidRPr="00D0678C">
        <w:t xml:space="preserve"> –</w:t>
      </w:r>
      <w:r w:rsidR="009613C0" w:rsidRPr="00D0678C">
        <w:t xml:space="preserve"> “</w:t>
      </w:r>
      <w:r w:rsidRPr="00D0678C">
        <w:t xml:space="preserve">o </w:t>
      </w:r>
      <w:r w:rsidRPr="00D0678C">
        <w:lastRenderedPageBreak/>
        <w:t>banqueiro</w:t>
      </w:r>
      <w:r w:rsidR="009613C0" w:rsidRPr="00D0678C">
        <w:t xml:space="preserve"> fica melhor garantido por utilizaç</w:t>
      </w:r>
      <w:r w:rsidR="009C13DB" w:rsidRPr="00D0678C">
        <w:t xml:space="preserve">ão produtiva </w:t>
      </w:r>
      <w:r w:rsidR="009613C0" w:rsidRPr="00D0678C">
        <w:t xml:space="preserve">ou racional </w:t>
      </w:r>
      <w:r w:rsidR="00F424F0" w:rsidRPr="00D0678C">
        <w:t>das importâncias</w:t>
      </w:r>
      <w:r w:rsidR="009613C0" w:rsidRPr="00D0678C">
        <w:t xml:space="preserve"> mutuadas”</w:t>
      </w:r>
      <w:r w:rsidR="009613C0" w:rsidRPr="00D0678C">
        <w:rPr>
          <w:rStyle w:val="FootnoteReference"/>
        </w:rPr>
        <w:footnoteReference w:id="84"/>
      </w:r>
      <w:r w:rsidR="009613C0" w:rsidRPr="00D0678C">
        <w:t>.</w:t>
      </w:r>
      <w:r w:rsidRPr="00D0678C">
        <w:t xml:space="preserve"> 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</w:r>
      <w:r w:rsidRPr="00D0678C">
        <w:rPr>
          <w:smallCaps/>
        </w:rPr>
        <w:t>Menezes Leitão</w:t>
      </w:r>
      <w:r w:rsidRPr="00D0678C">
        <w:rPr>
          <w:rStyle w:val="FootnoteReference"/>
        </w:rPr>
        <w:footnoteReference w:id="85"/>
      </w:r>
      <w:proofErr w:type="gramStart"/>
      <w:r w:rsidRPr="00D0678C">
        <w:t>,</w:t>
      </w:r>
      <w:proofErr w:type="gramEnd"/>
      <w:r w:rsidRPr="00D0678C">
        <w:t xml:space="preserve"> destaca a configuração </w:t>
      </w:r>
      <w:r w:rsidRPr="00D0678C">
        <w:rPr>
          <w:i/>
        </w:rPr>
        <w:t>atípica</w:t>
      </w:r>
      <w:r w:rsidRPr="00D0678C">
        <w:t xml:space="preserve"> do </w:t>
      </w:r>
      <w:r w:rsidR="009C13DB" w:rsidRPr="00D0678C">
        <w:t>mútuo</w:t>
      </w:r>
      <w:r w:rsidRPr="00D0678C">
        <w:t xml:space="preserve"> de escopo, uma vez que na configuração típica</w:t>
      </w:r>
      <w:r w:rsidR="009C13DB" w:rsidRPr="00D0678C">
        <w:t xml:space="preserve"> </w:t>
      </w:r>
      <w:r w:rsidR="00F424F0" w:rsidRPr="00D0678C">
        <w:t>d</w:t>
      </w:r>
      <w:r w:rsidR="009C13DB" w:rsidRPr="00D0678C">
        <w:t>o contrato de mú</w:t>
      </w:r>
      <w:r w:rsidRPr="00D0678C">
        <w:t xml:space="preserve">tuo apenas </w:t>
      </w:r>
      <w:r w:rsidR="00F424F0" w:rsidRPr="00D0678C">
        <w:t>resulta</w:t>
      </w:r>
      <w:r w:rsidRPr="00D0678C">
        <w:t xml:space="preserve"> a restituição do capital – e eventualmente juros, caso o </w:t>
      </w:r>
      <w:r w:rsidR="004E1190" w:rsidRPr="00D0678C">
        <w:t>mútuo</w:t>
      </w:r>
      <w:r w:rsidRPr="00D0678C">
        <w:t xml:space="preserve"> seja oneroso – sem que haja uma </w:t>
      </w:r>
      <w:r w:rsidRPr="00D0678C">
        <w:rPr>
          <w:i/>
        </w:rPr>
        <w:t>limitação à liberdade em alocar o capital emprestado</w:t>
      </w:r>
      <w:r w:rsidRPr="00D0678C">
        <w:t xml:space="preserve">. Contudo, a inclusão de uma </w:t>
      </w:r>
      <w:r w:rsidR="004E1190" w:rsidRPr="00D0678C">
        <w:t>cláusula</w:t>
      </w:r>
      <w:r w:rsidRPr="00D0678C">
        <w:t xml:space="preserve"> a determinar o fim do contrato não altera a sua estru</w:t>
      </w:r>
      <w:r w:rsidR="00FF4CC3" w:rsidRPr="00D0678C">
        <w:t>tu</w:t>
      </w:r>
      <w:r w:rsidR="0003649E" w:rsidRPr="00D0678C">
        <w:t xml:space="preserve">ra </w:t>
      </w:r>
      <w:r w:rsidR="0003649E" w:rsidRPr="00D0678C">
        <w:rPr>
          <w:i/>
        </w:rPr>
        <w:t>funcional</w:t>
      </w:r>
      <w:r w:rsidR="0003649E" w:rsidRPr="00D0678C">
        <w:t>;</w:t>
      </w:r>
      <w:r w:rsidRPr="00D0678C">
        <w:t xml:space="preserve"> quer dizer que a obrigação do mutuário será sempre restituir o montante que lhe foi confiado.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A qualificação negocial do contrato de mútuo nestes termos – </w:t>
      </w:r>
      <w:r w:rsidR="004E1190" w:rsidRPr="00D0678C">
        <w:rPr>
          <w:i/>
        </w:rPr>
        <w:t>mútuo</w:t>
      </w:r>
      <w:r w:rsidRPr="00D0678C">
        <w:rPr>
          <w:i/>
        </w:rPr>
        <w:t xml:space="preserve"> de escopo</w:t>
      </w:r>
      <w:r w:rsidRPr="00D0678C">
        <w:t xml:space="preserve"> </w:t>
      </w:r>
      <w:r w:rsidR="004E1190" w:rsidRPr="00D0678C">
        <w:t>– remete-nos</w:t>
      </w:r>
      <w:r w:rsidRPr="00D0678C">
        <w:t xml:space="preserve"> para a clássica distinção entre </w:t>
      </w:r>
      <w:r w:rsidRPr="00D0678C">
        <w:rPr>
          <w:i/>
        </w:rPr>
        <w:t>negócios causais</w:t>
      </w:r>
      <w:r w:rsidRPr="00D0678C">
        <w:t xml:space="preserve"> e </w:t>
      </w:r>
      <w:r w:rsidRPr="00D0678C">
        <w:rPr>
          <w:i/>
        </w:rPr>
        <w:t xml:space="preserve">negócios </w:t>
      </w:r>
      <w:proofErr w:type="spellStart"/>
      <w:r w:rsidR="004E1190" w:rsidRPr="00D0678C">
        <w:rPr>
          <w:i/>
        </w:rPr>
        <w:t>abstractos</w:t>
      </w:r>
      <w:proofErr w:type="spellEnd"/>
      <w:r w:rsidR="00DD02EA" w:rsidRPr="00D0678C">
        <w:t xml:space="preserve">. Tal como aponta </w:t>
      </w:r>
      <w:r w:rsidR="0003649E" w:rsidRPr="00D0678C">
        <w:t>o aresto de Portalegre,</w:t>
      </w:r>
      <w:r w:rsidRPr="00D0678C">
        <w:t xml:space="preserve"> os últimos são aqueles cuja causa não releva, por preencherem uma multiplicidade de funções e os efeitos do </w:t>
      </w:r>
      <w:r w:rsidR="004E1190" w:rsidRPr="00D0678C">
        <w:t>negócio</w:t>
      </w:r>
      <w:r w:rsidR="00DD02EA" w:rsidRPr="00D0678C">
        <w:t xml:space="preserve"> serem separados da sua função, o</w:t>
      </w:r>
      <w:r w:rsidRPr="00D0678C">
        <w:t xml:space="preserve">s </w:t>
      </w:r>
      <w:r w:rsidR="0003649E" w:rsidRPr="00D0678C">
        <w:t>primeiros</w:t>
      </w:r>
      <w:r w:rsidRPr="00D0678C">
        <w:t xml:space="preserve"> são aqueles em que o conteúdo n</w:t>
      </w:r>
      <w:r w:rsidR="00A64351" w:rsidRPr="00D0678C">
        <w:t xml:space="preserve">ão é isolado da </w:t>
      </w:r>
      <w:proofErr w:type="spellStart"/>
      <w:r w:rsidR="00FF4CC3" w:rsidRPr="00D0678C">
        <w:t>respectiva</w:t>
      </w:r>
      <w:proofErr w:type="spellEnd"/>
      <w:r w:rsidR="00A64351" w:rsidRPr="00D0678C">
        <w:t xml:space="preserve"> causa</w:t>
      </w:r>
      <w:r w:rsidRPr="00D0678C">
        <w:rPr>
          <w:rStyle w:val="FootnoteReference"/>
        </w:rPr>
        <w:footnoteReference w:id="86"/>
      </w:r>
      <w:r w:rsidRPr="00D0678C">
        <w:t>.</w:t>
      </w:r>
    </w:p>
    <w:p w:rsidR="00F277A8" w:rsidRPr="00D0678C" w:rsidRDefault="00F277A8" w:rsidP="00D0678C">
      <w:pPr>
        <w:spacing w:line="360" w:lineRule="auto"/>
        <w:jc w:val="both"/>
      </w:pPr>
      <w:r w:rsidRPr="00D0678C">
        <w:tab/>
        <w:t xml:space="preserve">Quanto a este ponto não podemos ser desonestos, </w:t>
      </w:r>
      <w:r w:rsidRPr="00D0678C">
        <w:rPr>
          <w:i/>
        </w:rPr>
        <w:t>o fim</w:t>
      </w:r>
      <w:r w:rsidRPr="00D0678C">
        <w:t xml:space="preserve"> é a</w:t>
      </w:r>
      <w:r w:rsidRPr="00D0678C">
        <w:rPr>
          <w:i/>
        </w:rPr>
        <w:t xml:space="preserve"> causa</w:t>
      </w:r>
      <w:r w:rsidRPr="00D0678C">
        <w:t xml:space="preserve"> do empréstimo. Contudo</w:t>
      </w:r>
      <w:r w:rsidR="004E1190" w:rsidRPr="00D0678C">
        <w:t>,</w:t>
      </w:r>
      <w:r w:rsidRPr="00D0678C">
        <w:t xml:space="preserve"> as duas realidades distinguem-se, até porque esse fim culmina com a celebração de outro negócio – um contrato de compra e venda. Não há uma coligação de contratos, no entanto não se pode ignorar a </w:t>
      </w:r>
      <w:r w:rsidRPr="00D0678C">
        <w:rPr>
          <w:i/>
        </w:rPr>
        <w:t>ingerência</w:t>
      </w:r>
      <w:r w:rsidR="00837BED" w:rsidRPr="00D0678C">
        <w:t xml:space="preserve"> da </w:t>
      </w:r>
      <w:r w:rsidR="00837BED" w:rsidRPr="00D0678C">
        <w:rPr>
          <w:i/>
        </w:rPr>
        <w:t>cláusula do</w:t>
      </w:r>
      <w:r w:rsidRPr="00D0678C">
        <w:rPr>
          <w:i/>
        </w:rPr>
        <w:t xml:space="preserve"> fim</w:t>
      </w:r>
      <w:r w:rsidRPr="00D0678C">
        <w:t xml:space="preserve"> no </w:t>
      </w:r>
      <w:r w:rsidR="00837BED" w:rsidRPr="00D0678C">
        <w:t>conteúdo</w:t>
      </w:r>
      <w:r w:rsidRPr="00D0678C">
        <w:t xml:space="preserve"> do contrato</w:t>
      </w:r>
      <w:r w:rsidR="00837BED" w:rsidRPr="00D0678C">
        <w:t xml:space="preserve"> de </w:t>
      </w:r>
      <w:r w:rsidR="00D00373" w:rsidRPr="00D0678C">
        <w:t>mútuo. E</w:t>
      </w:r>
      <w:r w:rsidRPr="00D0678C">
        <w:t xml:space="preserve">ste circunstancialismo deixa-nos apreensivos e com serias dificuldades em responder à questão </w:t>
      </w:r>
      <w:r w:rsidR="00DD02EA" w:rsidRPr="00D0678C">
        <w:t xml:space="preserve">– </w:t>
      </w:r>
      <w:r w:rsidRPr="00D0678C">
        <w:t xml:space="preserve">se o escopo limita ou não a responsabilidade do mutuário. Julgamos decisiva a </w:t>
      </w:r>
      <w:r w:rsidRPr="00D0678C">
        <w:rPr>
          <w:i/>
        </w:rPr>
        <w:t xml:space="preserve">não </w:t>
      </w:r>
      <w:proofErr w:type="spellStart"/>
      <w:r w:rsidRPr="00D0678C">
        <w:rPr>
          <w:i/>
        </w:rPr>
        <w:t>acessoriedade</w:t>
      </w:r>
      <w:proofErr w:type="spellEnd"/>
      <w:r w:rsidRPr="00D0678C">
        <w:t xml:space="preserve"> de um contrato em relação ao outro. Assim</w:t>
      </w:r>
      <w:r w:rsidR="00837BED" w:rsidRPr="00D0678C">
        <w:t>,</w:t>
      </w:r>
      <w:r w:rsidRPr="00D0678C">
        <w:t xml:space="preserve"> se um contrato se extingue, é anulado ou declarado n</w:t>
      </w:r>
      <w:r w:rsidR="00F2388A" w:rsidRPr="00D0678C">
        <w:t>ulo, estes e</w:t>
      </w:r>
      <w:r w:rsidR="0043508B">
        <w:t xml:space="preserve">feitos - </w:t>
      </w:r>
      <w:r w:rsidR="00F2388A" w:rsidRPr="00D0678C">
        <w:t>logicamente –</w:t>
      </w:r>
      <w:r w:rsidR="004E1190" w:rsidRPr="00D0678C">
        <w:t xml:space="preserve"> não</w:t>
      </w:r>
      <w:r w:rsidRPr="00D0678C">
        <w:rPr>
          <w:i/>
        </w:rPr>
        <w:t xml:space="preserve"> </w:t>
      </w:r>
      <w:proofErr w:type="spellStart"/>
      <w:r w:rsidR="00F2388A" w:rsidRPr="00D0678C">
        <w:rPr>
          <w:i/>
        </w:rPr>
        <w:t>afectam</w:t>
      </w:r>
      <w:proofErr w:type="spellEnd"/>
      <w:r w:rsidR="00F2388A" w:rsidRPr="00D0678C">
        <w:t xml:space="preserve"> </w:t>
      </w:r>
      <w:r w:rsidRPr="00D0678C">
        <w:t>a validade e a continuidade do outro negócio</w:t>
      </w:r>
      <w:r w:rsidR="00837BED" w:rsidRPr="00D0678C">
        <w:rPr>
          <w:rStyle w:val="FootnoteReference"/>
        </w:rPr>
        <w:footnoteReference w:id="87"/>
      </w:r>
      <w:r w:rsidR="00217D9B" w:rsidRPr="00D0678C">
        <w:t xml:space="preserve">; ou nas palavras de </w:t>
      </w:r>
      <w:r w:rsidR="00217D9B" w:rsidRPr="00D0678C">
        <w:rPr>
          <w:smallCaps/>
        </w:rPr>
        <w:t>Isabel Menéres Campos</w:t>
      </w:r>
      <w:r w:rsidR="00EA0ADF" w:rsidRPr="00D0678C">
        <w:rPr>
          <w:smallCaps/>
        </w:rPr>
        <w:t>: “</w:t>
      </w:r>
      <w:r w:rsidR="00EA0ADF" w:rsidRPr="00D0678C">
        <w:t>não podendo afirmar-se</w:t>
      </w:r>
      <w:r w:rsidR="00EA0ADF" w:rsidRPr="00D0678C">
        <w:rPr>
          <w:smallCaps/>
        </w:rPr>
        <w:t xml:space="preserve"> </w:t>
      </w:r>
      <w:r w:rsidR="00EA0ADF" w:rsidRPr="00D0678C">
        <w:t xml:space="preserve">que, com a venda executiva, se perde esse resultado [contrato de </w:t>
      </w:r>
      <w:proofErr w:type="gramStart"/>
      <w:r w:rsidR="00EA0ADF" w:rsidRPr="00D0678C">
        <w:t>mútuo]</w:t>
      </w:r>
      <w:proofErr w:type="gramEnd"/>
      <w:r w:rsidR="00EA0ADF" w:rsidRPr="00D0678C">
        <w:t>”</w:t>
      </w:r>
      <w:r w:rsidR="00EA0ADF" w:rsidRPr="00D0678C">
        <w:rPr>
          <w:rStyle w:val="FootnoteReference"/>
        </w:rPr>
        <w:footnoteReference w:id="88"/>
      </w:r>
      <w:r w:rsidR="00EA0ADF" w:rsidRPr="00D0678C">
        <w:t xml:space="preserve">. </w:t>
      </w:r>
      <w:r w:rsidR="00837BED" w:rsidRPr="00D0678C">
        <w:t>A</w:t>
      </w:r>
      <w:r w:rsidRPr="00D0678C">
        <w:t xml:space="preserve">pesar da </w:t>
      </w:r>
      <w:r w:rsidR="004F5351" w:rsidRPr="00D0678C">
        <w:rPr>
          <w:i/>
        </w:rPr>
        <w:t>cláusula</w:t>
      </w:r>
      <w:r w:rsidR="00837BED" w:rsidRPr="00D0678C">
        <w:rPr>
          <w:i/>
        </w:rPr>
        <w:t xml:space="preserve"> do</w:t>
      </w:r>
      <w:r w:rsidRPr="00D0678C">
        <w:rPr>
          <w:i/>
        </w:rPr>
        <w:t xml:space="preserve"> fim</w:t>
      </w:r>
      <w:r w:rsidRPr="00D0678C">
        <w:t xml:space="preserve"> gerar alguma dificuldade interpretativa, não vislumbramos um argumento forte que nos </w:t>
      </w:r>
      <w:r w:rsidR="00EA0ADF" w:rsidRPr="00D0678C">
        <w:t>leve</w:t>
      </w:r>
      <w:r w:rsidRPr="00D0678C">
        <w:t xml:space="preserve"> </w:t>
      </w:r>
      <w:r w:rsidR="00837BED" w:rsidRPr="00D0678C">
        <w:t>a pensar</w:t>
      </w:r>
      <w:r w:rsidRPr="00D0678C">
        <w:t xml:space="preserve"> que a responsabilidade do mutuário fique </w:t>
      </w:r>
      <w:r w:rsidRPr="00D0678C">
        <w:rPr>
          <w:i/>
        </w:rPr>
        <w:t>limitada</w:t>
      </w:r>
      <w:r w:rsidRPr="00D0678C">
        <w:t xml:space="preserve"> pelo fim a que o contrato de </w:t>
      </w:r>
      <w:r w:rsidR="004F5351" w:rsidRPr="00D0678C">
        <w:t>mútuo</w:t>
      </w:r>
      <w:r w:rsidRPr="00D0678C">
        <w:t xml:space="preserve"> se destina. Pelo contrário, se é verdade que </w:t>
      </w:r>
      <w:r w:rsidRPr="00D0678C">
        <w:lastRenderedPageBreak/>
        <w:t>o ban</w:t>
      </w:r>
      <w:r w:rsidR="00837BED" w:rsidRPr="00D0678C">
        <w:t>co</w:t>
      </w:r>
      <w:r w:rsidRPr="00D0678C">
        <w:t xml:space="preserve"> beneficia de uma garantia acrescida, também é verdade que o cliente beneficia de melhores condições contratuais, designadamente o período do contrato</w:t>
      </w:r>
      <w:r w:rsidR="00837BED" w:rsidRPr="00D0678C">
        <w:t xml:space="preserve"> ou a taxa de juro aplicável. </w:t>
      </w:r>
    </w:p>
    <w:p w:rsidR="00B7590A" w:rsidRPr="00D0678C" w:rsidRDefault="00837BED" w:rsidP="00D0678C">
      <w:pPr>
        <w:spacing w:line="360" w:lineRule="auto"/>
        <w:jc w:val="both"/>
      </w:pPr>
      <w:r w:rsidRPr="00D0678C">
        <w:tab/>
      </w:r>
      <w:r w:rsidR="006C07AC" w:rsidRPr="00D0678C">
        <w:t>Relativamente à</w:t>
      </w:r>
      <w:r w:rsidR="00F277A8" w:rsidRPr="00D0678C">
        <w:t xml:space="preserve"> hipoteca</w:t>
      </w:r>
      <w:r w:rsidR="006C07AC" w:rsidRPr="00D0678C">
        <w:t xml:space="preserve">, como sabemos </w:t>
      </w:r>
      <w:proofErr w:type="gramStart"/>
      <w:r w:rsidR="006C07AC" w:rsidRPr="00D0678C">
        <w:t>esta</w:t>
      </w:r>
      <w:r w:rsidR="00F277A8" w:rsidRPr="00D0678C">
        <w:t xml:space="preserve"> visa</w:t>
      </w:r>
      <w:proofErr w:type="gramEnd"/>
      <w:r w:rsidR="00F277A8" w:rsidRPr="00D0678C">
        <w:t xml:space="preserve"> </w:t>
      </w:r>
      <w:r w:rsidR="00F277A8" w:rsidRPr="00D0678C">
        <w:rPr>
          <w:i/>
        </w:rPr>
        <w:t>caucionar</w:t>
      </w:r>
      <w:r w:rsidR="006C07AC" w:rsidRPr="00D0678C">
        <w:t xml:space="preserve"> o cumprimento de uma obrigação.</w:t>
      </w:r>
      <w:r w:rsidR="00F277A8" w:rsidRPr="00D0678C">
        <w:t xml:space="preserve"> </w:t>
      </w:r>
      <w:r w:rsidR="00FA0A37" w:rsidRPr="00D0678C">
        <w:t>A execução da hipoteca pelo credor hipotecário, em caso de inadimplemento do devedor, e, por conseguinte, a perda da casa pelos mutuários não significa que o contrato de mútuo fine. Ademais, c</w:t>
      </w:r>
      <w:r w:rsidR="00F277A8" w:rsidRPr="00D0678C">
        <w:t xml:space="preserve">omo salienta </w:t>
      </w:r>
      <w:r w:rsidR="00154957" w:rsidRPr="00D0678C">
        <w:rPr>
          <w:smallCaps/>
        </w:rPr>
        <w:t>Isabel Mené</w:t>
      </w:r>
      <w:r w:rsidR="00F277A8" w:rsidRPr="00D0678C">
        <w:rPr>
          <w:smallCaps/>
        </w:rPr>
        <w:t>res Campos</w:t>
      </w:r>
      <w:r w:rsidR="00F277A8" w:rsidRPr="00D0678C">
        <w:t>, se</w:t>
      </w:r>
      <w:r w:rsidR="00217D9B" w:rsidRPr="00D0678C">
        <w:t>,</w:t>
      </w:r>
      <w:r w:rsidR="00F277A8" w:rsidRPr="00D0678C">
        <w:t xml:space="preserve"> em sede execução da hipoteca</w:t>
      </w:r>
      <w:r w:rsidR="008C1CED">
        <w:t>, se considerasse</w:t>
      </w:r>
      <w:r w:rsidR="00FA0A37" w:rsidRPr="00D0678C">
        <w:t xml:space="preserve"> que o resultado visado pelo </w:t>
      </w:r>
      <w:r w:rsidR="00B7590A" w:rsidRPr="00D0678C">
        <w:t>negócio</w:t>
      </w:r>
      <w:r w:rsidR="00FA0A37" w:rsidRPr="00D0678C">
        <w:t xml:space="preserve"> não mais existia, então nunca seriam prestadas garantias adicionais (</w:t>
      </w:r>
      <w:r w:rsidR="00FA0A37" w:rsidRPr="00D0678C">
        <w:rPr>
          <w:i/>
        </w:rPr>
        <w:t xml:space="preserve">v.g., </w:t>
      </w:r>
      <w:r w:rsidR="00FA0A37" w:rsidRPr="00D0678C">
        <w:t>fiança, aval) nestes tipos de negócios</w:t>
      </w:r>
      <w:r w:rsidR="00B7590A" w:rsidRPr="00D0678C">
        <w:t>,</w:t>
      </w:r>
      <w:r w:rsidR="00FA0A37" w:rsidRPr="00D0678C">
        <w:t xml:space="preserve"> porquanto seriam formas ocas e sem força </w:t>
      </w:r>
      <w:proofErr w:type="spellStart"/>
      <w:r w:rsidR="00FA0A37" w:rsidRPr="00D0678C">
        <w:t>garantí</w:t>
      </w:r>
      <w:r w:rsidR="00B7590A" w:rsidRPr="00D0678C">
        <w:t>stica</w:t>
      </w:r>
      <w:proofErr w:type="spellEnd"/>
      <w:r w:rsidR="00B7590A" w:rsidRPr="00D0678C">
        <w:t>, pois apó</w:t>
      </w:r>
      <w:r w:rsidR="00FA0A37" w:rsidRPr="00D0678C">
        <w:t xml:space="preserve">s a excussão </w:t>
      </w:r>
      <w:r w:rsidR="00B7590A" w:rsidRPr="00D0678C">
        <w:t>do bem garantido, não se poderia executar as demais</w:t>
      </w:r>
      <w:r w:rsidR="00B7590A" w:rsidRPr="00D0678C">
        <w:rPr>
          <w:rStyle w:val="FootnoteReference"/>
        </w:rPr>
        <w:footnoteReference w:id="89"/>
      </w:r>
      <w:r w:rsidR="008F7002" w:rsidRPr="00D0678C">
        <w:t xml:space="preserve"> </w:t>
      </w:r>
      <w:r w:rsidR="008F7002" w:rsidRPr="00D0678C">
        <w:rPr>
          <w:rStyle w:val="FootnoteReference"/>
        </w:rPr>
        <w:footnoteReference w:id="90"/>
      </w:r>
      <w:r w:rsidR="00B7590A" w:rsidRPr="00D0678C">
        <w:t>.</w:t>
      </w:r>
      <w:r w:rsidR="00F277A8" w:rsidRPr="00D0678C">
        <w:tab/>
      </w:r>
    </w:p>
    <w:p w:rsidR="00F277A8" w:rsidRPr="00D0678C" w:rsidRDefault="00B7590A" w:rsidP="00D0678C">
      <w:pPr>
        <w:spacing w:line="360" w:lineRule="auto"/>
        <w:jc w:val="both"/>
      </w:pPr>
      <w:r w:rsidRPr="00D0678C">
        <w:tab/>
      </w:r>
      <w:r w:rsidR="00F277A8" w:rsidRPr="00D0678C">
        <w:t xml:space="preserve">No mútuo bancário, e em particular no caso do crédito à habitação, salientamos em nosso abono o nº 3 do </w:t>
      </w:r>
      <w:proofErr w:type="spellStart"/>
      <w:r w:rsidR="00F277A8" w:rsidRPr="00D0678C">
        <w:t>art</w:t>
      </w:r>
      <w:proofErr w:type="spellEnd"/>
      <w:r w:rsidR="00F277A8" w:rsidRPr="00D0678C">
        <w:t xml:space="preserve">. 23º do Decreto-lei nº 349/98, o qual refere a possibilidade de substituir a hipoteca sobre a habitação por outro noutro prédio ou substitui-la por penhor de títulos cotados na bolsa de valores e, em casos </w:t>
      </w:r>
      <w:proofErr w:type="spellStart"/>
      <w:r w:rsidR="00F277A8" w:rsidRPr="00D0678C">
        <w:t>excepcionais</w:t>
      </w:r>
      <w:proofErr w:type="spellEnd"/>
      <w:r w:rsidR="00F277A8" w:rsidRPr="00D0678C">
        <w:t xml:space="preserve">, por qualquer outra garantia considerada adequada ao risco do empréstimo pela instituição de crédito mutuante. Daqui pode-nos retirar a ilação de </w:t>
      </w:r>
      <w:r w:rsidR="00925C49" w:rsidRPr="00D0678C">
        <w:t xml:space="preserve">que </w:t>
      </w:r>
      <w:r w:rsidR="00F277A8" w:rsidRPr="00D0678C">
        <w:t xml:space="preserve">o resultado visado pelo </w:t>
      </w:r>
      <w:r w:rsidR="004F5351" w:rsidRPr="00D0678C">
        <w:t>mútuo</w:t>
      </w:r>
      <w:r w:rsidR="00925C49" w:rsidRPr="00D0678C">
        <w:t xml:space="preserve"> de escopo –</w:t>
      </w:r>
      <w:r w:rsidR="00F277A8" w:rsidRPr="00D0678C">
        <w:t xml:space="preserve"> apesar de se ter cumprido no mo</w:t>
      </w:r>
      <w:r w:rsidR="00925C49" w:rsidRPr="00D0678C">
        <w:t xml:space="preserve">mento da aquisição da habitação –, </w:t>
      </w:r>
      <w:r w:rsidR="008C1CED">
        <w:t xml:space="preserve">é o de que </w:t>
      </w:r>
      <w:r w:rsidR="00F277A8" w:rsidRPr="00D0678C">
        <w:t xml:space="preserve">o </w:t>
      </w:r>
      <w:r w:rsidR="004F5351" w:rsidRPr="00D0678C">
        <w:t>empréstimo</w:t>
      </w:r>
      <w:r w:rsidR="00F277A8" w:rsidRPr="00D0678C">
        <w:t xml:space="preserve"> mantém-se até ao paga</w:t>
      </w:r>
      <w:r w:rsidRPr="00D0678C">
        <w:t>mento integral do valor mutuado</w:t>
      </w:r>
      <w:r w:rsidR="00F277A8" w:rsidRPr="00D0678C">
        <w:rPr>
          <w:rStyle w:val="FootnoteReference"/>
        </w:rPr>
        <w:footnoteReference w:id="91"/>
      </w:r>
      <w:r w:rsidR="00F277A8" w:rsidRPr="00D0678C">
        <w:t xml:space="preserve">.  </w:t>
      </w:r>
    </w:p>
    <w:p w:rsidR="00F277A8" w:rsidRDefault="00F277A8" w:rsidP="00D0678C">
      <w:pPr>
        <w:spacing w:line="360" w:lineRule="auto"/>
        <w:jc w:val="both"/>
      </w:pPr>
      <w:r w:rsidRPr="00D0678C">
        <w:tab/>
      </w:r>
      <w:r w:rsidR="00B7590A" w:rsidRPr="00D0678C">
        <w:t>Em jeito conclusivo,</w:t>
      </w:r>
      <w:r w:rsidRPr="00D0678C">
        <w:t xml:space="preserve"> podemos </w:t>
      </w:r>
      <w:r w:rsidR="00B7590A" w:rsidRPr="00D0678C">
        <w:t>afirmar sem receios</w:t>
      </w:r>
      <w:r w:rsidRPr="00D0678C">
        <w:t xml:space="preserve"> que a constituição de hipoteca sobre o imóvel a adquirir por meio da quantia mutuada não pode ser concebida como uma </w:t>
      </w:r>
      <w:r w:rsidRPr="00D0678C">
        <w:rPr>
          <w:i/>
        </w:rPr>
        <w:t>limitação</w:t>
      </w:r>
      <w:r w:rsidRPr="00D0678C">
        <w:t xml:space="preserve"> da responsabilidade do mutuário.</w:t>
      </w:r>
    </w:p>
    <w:p w:rsidR="007F2FA8" w:rsidRDefault="007F2FA8" w:rsidP="00D0678C">
      <w:pPr>
        <w:spacing w:line="360" w:lineRule="auto"/>
        <w:jc w:val="both"/>
      </w:pPr>
    </w:p>
    <w:p w:rsidR="007F2FA8" w:rsidRDefault="007F2FA8" w:rsidP="00D0678C">
      <w:pPr>
        <w:spacing w:line="360" w:lineRule="auto"/>
        <w:jc w:val="both"/>
      </w:pPr>
    </w:p>
    <w:p w:rsidR="007F2FA8" w:rsidRPr="00D0678C" w:rsidRDefault="007F2FA8" w:rsidP="00D0678C">
      <w:pPr>
        <w:spacing w:line="360" w:lineRule="auto"/>
        <w:jc w:val="both"/>
      </w:pPr>
    </w:p>
    <w:p w:rsidR="00F277A8" w:rsidRPr="00D0678C" w:rsidRDefault="00A47789" w:rsidP="00D0678C">
      <w:pPr>
        <w:spacing w:line="360" w:lineRule="auto"/>
        <w:jc w:val="both"/>
        <w:rPr>
          <w:b/>
        </w:rPr>
      </w:pPr>
      <w:r w:rsidRPr="00D0678C">
        <w:lastRenderedPageBreak/>
        <w:tab/>
      </w:r>
      <w:r w:rsidRPr="00D0678C">
        <w:rPr>
          <w:b/>
        </w:rPr>
        <w:t xml:space="preserve">5. Reflexões </w:t>
      </w:r>
      <w:proofErr w:type="gramStart"/>
      <w:r w:rsidRPr="00D0678C">
        <w:rPr>
          <w:b/>
        </w:rPr>
        <w:t>finais</w:t>
      </w:r>
      <w:proofErr w:type="gramEnd"/>
    </w:p>
    <w:p w:rsidR="0009606A" w:rsidRPr="00D0678C" w:rsidRDefault="0009606A" w:rsidP="00D0678C">
      <w:pPr>
        <w:spacing w:line="360" w:lineRule="auto"/>
        <w:jc w:val="both"/>
      </w:pPr>
      <w:r w:rsidRPr="00D0678C">
        <w:tab/>
      </w:r>
      <w:r w:rsidR="006B346C" w:rsidRPr="00D0678C">
        <w:t>Não cuidamos</w:t>
      </w:r>
      <w:r w:rsidR="009C6074" w:rsidRPr="00D0678C">
        <w:t>,</w:t>
      </w:r>
      <w:r w:rsidR="006B346C" w:rsidRPr="00D0678C">
        <w:t xml:space="preserve"> </w:t>
      </w:r>
      <w:r w:rsidR="009C6074" w:rsidRPr="00D0678C">
        <w:t xml:space="preserve">por causa da escassez espácio-temporal, </w:t>
      </w:r>
      <w:r w:rsidR="006B346C" w:rsidRPr="00D0678C">
        <w:t xml:space="preserve">da </w:t>
      </w:r>
      <w:r w:rsidR="008540B7" w:rsidRPr="00D0678C">
        <w:t>legislação</w:t>
      </w:r>
      <w:r w:rsidR="009C6074" w:rsidRPr="00D0678C">
        <w:rPr>
          <w:rStyle w:val="FootnoteReference"/>
        </w:rPr>
        <w:footnoteReference w:id="92"/>
      </w:r>
      <w:r w:rsidR="008540B7" w:rsidRPr="00D0678C">
        <w:t xml:space="preserve"> entretanto criada para </w:t>
      </w:r>
      <w:r w:rsidR="00790DBF" w:rsidRPr="00D0678C">
        <w:t xml:space="preserve">(tentar) </w:t>
      </w:r>
      <w:r w:rsidR="00925C49" w:rsidRPr="00D0678C">
        <w:t>esmorecer a</w:t>
      </w:r>
      <w:r w:rsidR="00E43827" w:rsidRPr="00D0678C">
        <w:t xml:space="preserve"> crise </w:t>
      </w:r>
      <w:proofErr w:type="spellStart"/>
      <w:r w:rsidR="00E43827" w:rsidRPr="00D0678C">
        <w:t>socio-económica</w:t>
      </w:r>
      <w:proofErr w:type="spellEnd"/>
      <w:r w:rsidR="00E43827" w:rsidRPr="00D0678C">
        <w:t xml:space="preserve"> </w:t>
      </w:r>
      <w:r w:rsidR="00012D6F" w:rsidRPr="00D0678C">
        <w:t>criada pelos especuladores financeiros</w:t>
      </w:r>
      <w:r w:rsidR="006461FC" w:rsidRPr="00D0678C">
        <w:t xml:space="preserve">, </w:t>
      </w:r>
      <w:proofErr w:type="spellStart"/>
      <w:r w:rsidR="006461FC" w:rsidRPr="00D0678C">
        <w:rPr>
          <w:i/>
        </w:rPr>
        <w:t>maxime</w:t>
      </w:r>
      <w:proofErr w:type="spellEnd"/>
      <w:r w:rsidR="006461FC" w:rsidRPr="00D0678C">
        <w:t xml:space="preserve"> </w:t>
      </w:r>
      <w:r w:rsidR="00925C49" w:rsidRPr="00D0678C">
        <w:t>fileira</w:t>
      </w:r>
      <w:r w:rsidR="00012D6F" w:rsidRPr="00D0678C">
        <w:t xml:space="preserve"> imobili</w:t>
      </w:r>
      <w:r w:rsidR="00925C49" w:rsidRPr="00D0678C">
        <w:t>ária</w:t>
      </w:r>
      <w:r w:rsidR="006461FC" w:rsidRPr="00D0678C">
        <w:t>.</w:t>
      </w:r>
      <w:r w:rsidR="00012D6F" w:rsidRPr="00D0678C">
        <w:t xml:space="preserve"> </w:t>
      </w:r>
      <w:r w:rsidR="006461FC" w:rsidRPr="00D0678C">
        <w:t>D</w:t>
      </w:r>
      <w:r w:rsidR="00012D6F" w:rsidRPr="00D0678C">
        <w:t>e resto,</w:t>
      </w:r>
      <w:r w:rsidR="006461FC" w:rsidRPr="00D0678C">
        <w:t xml:space="preserve"> o</w:t>
      </w:r>
      <w:r w:rsidR="00012D6F" w:rsidRPr="00D0678C">
        <w:t xml:space="preserve"> </w:t>
      </w:r>
      <w:r w:rsidR="006461FC" w:rsidRPr="00D0678C">
        <w:t xml:space="preserve">mercado habitacional </w:t>
      </w:r>
      <w:r w:rsidR="00012D6F" w:rsidRPr="00D0678C">
        <w:t xml:space="preserve">foi uma das faces </w:t>
      </w:r>
      <w:r w:rsidR="006461FC" w:rsidRPr="00D0678C">
        <w:t xml:space="preserve">mais </w:t>
      </w:r>
      <w:r w:rsidR="00012D6F" w:rsidRPr="00D0678C">
        <w:t>visíveis</w:t>
      </w:r>
      <w:r w:rsidR="006461FC" w:rsidRPr="00D0678C">
        <w:t xml:space="preserve"> da crise</w:t>
      </w:r>
      <w:r w:rsidR="00012D6F" w:rsidRPr="00D0678C">
        <w:t xml:space="preserve">: </w:t>
      </w:r>
      <w:r w:rsidR="00012D6F" w:rsidRPr="00D0678C">
        <w:rPr>
          <w:i/>
        </w:rPr>
        <w:t xml:space="preserve">tão rápido encheu a bolha – </w:t>
      </w:r>
      <w:r w:rsidR="0015170E" w:rsidRPr="00D0678C">
        <w:rPr>
          <w:i/>
        </w:rPr>
        <w:t xml:space="preserve">como </w:t>
      </w:r>
      <w:r w:rsidR="00012D6F" w:rsidRPr="00D0678C">
        <w:rPr>
          <w:i/>
        </w:rPr>
        <w:t>tão rápido rebentou</w:t>
      </w:r>
      <w:r w:rsidR="00012D6F" w:rsidRPr="00D0678C">
        <w:t xml:space="preserve">! Os destroços, esses, permanecem </w:t>
      </w:r>
      <w:r w:rsidR="006461FC" w:rsidRPr="00D0678C">
        <w:t>à vista de todos</w:t>
      </w:r>
      <w:r w:rsidR="00012D6F" w:rsidRPr="00D0678C">
        <w:t xml:space="preserve"> </w:t>
      </w:r>
      <w:r w:rsidR="00794AEC" w:rsidRPr="00D0678C">
        <w:t xml:space="preserve">tamanha </w:t>
      </w:r>
      <w:r w:rsidR="00012D6F" w:rsidRPr="00D0678C">
        <w:t>foi a imprudência e censurabilidade</w:t>
      </w:r>
      <w:r w:rsidR="00012D6F" w:rsidRPr="00D0678C">
        <w:rPr>
          <w:rStyle w:val="FootnoteReference"/>
        </w:rPr>
        <w:footnoteReference w:id="93"/>
      </w:r>
      <w:r w:rsidR="00012D6F" w:rsidRPr="00D0678C">
        <w:t xml:space="preserve"> usada</w:t>
      </w:r>
      <w:r w:rsidR="005D4192" w:rsidRPr="00D0678C">
        <w:t>, em particular no crédito h</w:t>
      </w:r>
      <w:r w:rsidR="006461FC" w:rsidRPr="00D0678C">
        <w:t>ipotecário</w:t>
      </w:r>
      <w:r w:rsidR="005D4192" w:rsidRPr="00D0678C">
        <w:t>.</w:t>
      </w:r>
      <w:r w:rsidR="008540B7" w:rsidRPr="00D0678C">
        <w:t xml:space="preserve"> </w:t>
      </w:r>
    </w:p>
    <w:p w:rsidR="006461FC" w:rsidRPr="00D0678C" w:rsidRDefault="005D4192" w:rsidP="00D0678C">
      <w:pPr>
        <w:spacing w:line="360" w:lineRule="auto"/>
        <w:jc w:val="both"/>
      </w:pPr>
      <w:r w:rsidRPr="00D0678C">
        <w:tab/>
        <w:t xml:space="preserve">Mas detenhamo-nos sobre </w:t>
      </w:r>
      <w:proofErr w:type="spellStart"/>
      <w:r w:rsidR="008F7002" w:rsidRPr="00D0678C">
        <w:t>aspectos</w:t>
      </w:r>
      <w:proofErr w:type="spellEnd"/>
      <w:r w:rsidR="008F7002" w:rsidRPr="00D0678C">
        <w:t xml:space="preserve"> palpáveis do nosso relatório.</w:t>
      </w:r>
      <w:r w:rsidRPr="00D0678C">
        <w:t xml:space="preserve"> </w:t>
      </w:r>
      <w:r w:rsidR="00A47789" w:rsidRPr="00D0678C">
        <w:tab/>
      </w:r>
      <w:r w:rsidR="008F7002" w:rsidRPr="00D0678C">
        <w:t>Ou seja, será que o juiz de Portalegre (</w:t>
      </w:r>
      <w:proofErr w:type="spellStart"/>
      <w:r w:rsidR="008F7002" w:rsidRPr="00D0678C">
        <w:rPr>
          <w:i/>
        </w:rPr>
        <w:t>et</w:t>
      </w:r>
      <w:proofErr w:type="spellEnd"/>
      <w:r w:rsidR="008F7002" w:rsidRPr="00D0678C">
        <w:rPr>
          <w:i/>
        </w:rPr>
        <w:t xml:space="preserve"> al</w:t>
      </w:r>
      <w:r w:rsidR="008F7002" w:rsidRPr="00D0678C">
        <w:t>) prestou um bom serviço à Justiça e ao Direito</w:t>
      </w:r>
      <w:r w:rsidR="006461FC" w:rsidRPr="00D0678C">
        <w:t>. A doutrina foi dissonante</w:t>
      </w:r>
      <w:r w:rsidR="005969FD" w:rsidRPr="00D0678C">
        <w:rPr>
          <w:rStyle w:val="FootnoteReference"/>
        </w:rPr>
        <w:footnoteReference w:id="94"/>
      </w:r>
      <w:r w:rsidR="006461FC" w:rsidRPr="00D0678C">
        <w:t xml:space="preserve">. De todo o modo, e ainda que o nosso </w:t>
      </w:r>
      <w:proofErr w:type="spellStart"/>
      <w:r w:rsidR="006461FC" w:rsidRPr="00D0678C">
        <w:t>actual</w:t>
      </w:r>
      <w:proofErr w:type="spellEnd"/>
      <w:r w:rsidR="006461FC" w:rsidRPr="00D0678C">
        <w:t xml:space="preserve"> nível de maturação jurídico não permita grandes construç</w:t>
      </w:r>
      <w:r w:rsidR="005969FD" w:rsidRPr="00D0678C">
        <w:t>ões</w:t>
      </w:r>
      <w:r w:rsidR="006461FC" w:rsidRPr="00D0678C">
        <w:t xml:space="preserve"> </w:t>
      </w:r>
      <w:r w:rsidR="005969FD" w:rsidRPr="00D0678C">
        <w:t xml:space="preserve">nem deambulações – </w:t>
      </w:r>
      <w:r w:rsidR="006461FC" w:rsidRPr="00D0678C">
        <w:t>reconhecemos humildemente</w:t>
      </w:r>
      <w:r w:rsidR="005969FD" w:rsidRPr="00D0678C">
        <w:t xml:space="preserve"> –</w:t>
      </w:r>
      <w:r w:rsidR="006461FC" w:rsidRPr="00D0678C">
        <w:t xml:space="preserve">, devemos, </w:t>
      </w:r>
      <w:r w:rsidR="006461FC" w:rsidRPr="00D0678C">
        <w:rPr>
          <w:i/>
        </w:rPr>
        <w:t>criticamente</w:t>
      </w:r>
      <w:r w:rsidR="006461FC" w:rsidRPr="00D0678C">
        <w:t>, optar por um caminho:</w:t>
      </w:r>
      <w:r w:rsidR="005969FD" w:rsidRPr="00D0678C">
        <w:t xml:space="preserve"> escolhemos a vereda </w:t>
      </w:r>
      <w:r w:rsidR="005969FD" w:rsidRPr="00D0678C">
        <w:rPr>
          <w:i/>
        </w:rPr>
        <w:t>legalista</w:t>
      </w:r>
      <w:r w:rsidR="005969FD" w:rsidRPr="00D0678C">
        <w:t xml:space="preserve"> e </w:t>
      </w:r>
      <w:r w:rsidR="005969FD" w:rsidRPr="00D0678C">
        <w:rPr>
          <w:i/>
        </w:rPr>
        <w:t>processualista</w:t>
      </w:r>
      <w:r w:rsidR="005969FD" w:rsidRPr="00D0678C">
        <w:t xml:space="preserve"> </w:t>
      </w:r>
      <w:r w:rsidR="00794AEC" w:rsidRPr="00D0678C">
        <w:t>defendida pela</w:t>
      </w:r>
      <w:r w:rsidR="005969FD" w:rsidRPr="00D0678C">
        <w:t xml:space="preserve"> Professora </w:t>
      </w:r>
      <w:r w:rsidR="005969FD" w:rsidRPr="00D0678C">
        <w:rPr>
          <w:smallCaps/>
        </w:rPr>
        <w:t xml:space="preserve">Isabel Menéres Campos. </w:t>
      </w:r>
      <w:r w:rsidR="002C3611" w:rsidRPr="00D0678C">
        <w:t>Aprende</w:t>
      </w:r>
      <w:r w:rsidR="00697808" w:rsidRPr="00D0678C">
        <w:t>mos</w:t>
      </w:r>
      <w:r w:rsidR="005969FD" w:rsidRPr="00D0678C">
        <w:t xml:space="preserve"> nos bancos das aulas de Introdução ao Direito que </w:t>
      </w:r>
      <w:r w:rsidR="00697808" w:rsidRPr="00D0678C">
        <w:t xml:space="preserve">o julgador só tem uma intervenção “criadora” </w:t>
      </w:r>
      <w:r w:rsidR="002C3611" w:rsidRPr="00D0678C">
        <w:t>(</w:t>
      </w:r>
      <w:r w:rsidR="002C3611" w:rsidRPr="00D0678C">
        <w:rPr>
          <w:i/>
        </w:rPr>
        <w:t>ad hoc</w:t>
      </w:r>
      <w:r w:rsidR="002C3611" w:rsidRPr="00D0678C">
        <w:t xml:space="preserve">) </w:t>
      </w:r>
      <w:r w:rsidR="00697808" w:rsidRPr="00D0678C">
        <w:t xml:space="preserve">quando se depara com cláusulas gerais e conceitos indeterminados e no domínio do direito </w:t>
      </w:r>
      <w:proofErr w:type="spellStart"/>
      <w:r w:rsidR="00697808" w:rsidRPr="00D0678C">
        <w:rPr>
          <w:i/>
        </w:rPr>
        <w:t>praeter</w:t>
      </w:r>
      <w:proofErr w:type="spellEnd"/>
      <w:r w:rsidR="00697808" w:rsidRPr="00D0678C">
        <w:rPr>
          <w:i/>
        </w:rPr>
        <w:t xml:space="preserve"> </w:t>
      </w:r>
      <w:proofErr w:type="spellStart"/>
      <w:r w:rsidR="00697808" w:rsidRPr="00D0678C">
        <w:rPr>
          <w:i/>
        </w:rPr>
        <w:t>legem</w:t>
      </w:r>
      <w:proofErr w:type="spellEnd"/>
      <w:r w:rsidR="00697808" w:rsidRPr="00D0678C">
        <w:t xml:space="preserve"> (lacunas) e dentro do espirito do sistema; em tudo o resto deve </w:t>
      </w:r>
      <w:r w:rsidR="0078524A" w:rsidRPr="00D0678C">
        <w:rPr>
          <w:i/>
        </w:rPr>
        <w:t>subserviência</w:t>
      </w:r>
      <w:r w:rsidR="002C3611" w:rsidRPr="00D0678C">
        <w:t xml:space="preserve"> </w:t>
      </w:r>
      <w:r w:rsidR="00697808" w:rsidRPr="00D0678C">
        <w:t>ao direito positivado</w:t>
      </w:r>
      <w:r w:rsidR="00697808" w:rsidRPr="00D0678C">
        <w:rPr>
          <w:rStyle w:val="FootnoteReference"/>
        </w:rPr>
        <w:footnoteReference w:id="95"/>
      </w:r>
      <w:r w:rsidR="00697808" w:rsidRPr="00D0678C">
        <w:t xml:space="preserve">, sob pena de, como assevera </w:t>
      </w:r>
      <w:r w:rsidR="00697808" w:rsidRPr="00D0678C">
        <w:rPr>
          <w:smallCaps/>
        </w:rPr>
        <w:t xml:space="preserve">Isabel Menéres Campos, </w:t>
      </w:r>
      <w:r w:rsidR="00697808" w:rsidRPr="00D0678C">
        <w:t xml:space="preserve">sentenciar </w:t>
      </w:r>
      <w:r w:rsidR="00697808" w:rsidRPr="00D0678C">
        <w:rPr>
          <w:i/>
        </w:rPr>
        <w:t>contra</w:t>
      </w:r>
      <w:r w:rsidR="009517E8" w:rsidRPr="00D0678C">
        <w:rPr>
          <w:i/>
        </w:rPr>
        <w:t xml:space="preserve"> </w:t>
      </w:r>
      <w:proofErr w:type="spellStart"/>
      <w:r w:rsidR="00697808" w:rsidRPr="00D0678C">
        <w:rPr>
          <w:i/>
        </w:rPr>
        <w:t>legem</w:t>
      </w:r>
      <w:proofErr w:type="spellEnd"/>
      <w:r w:rsidR="002C3611" w:rsidRPr="00D0678C">
        <w:rPr>
          <w:rStyle w:val="FootnoteReference"/>
          <w:i/>
        </w:rPr>
        <w:footnoteReference w:id="96"/>
      </w:r>
      <w:r w:rsidR="0078524A" w:rsidRPr="00D0678C">
        <w:rPr>
          <w:i/>
        </w:rPr>
        <w:t xml:space="preserve"> </w:t>
      </w:r>
      <w:r w:rsidR="0078524A" w:rsidRPr="00D0678C">
        <w:t>e</w:t>
      </w:r>
      <w:r w:rsidR="0078524A" w:rsidRPr="00D0678C">
        <w:rPr>
          <w:i/>
        </w:rPr>
        <w:t xml:space="preserve"> </w:t>
      </w:r>
      <w:r w:rsidR="0078524A" w:rsidRPr="00D0678C">
        <w:t xml:space="preserve">denegar os sacrossantos princípios da segurança e certeza jurídica. </w:t>
      </w:r>
      <w:r w:rsidR="0078524A" w:rsidRPr="00D0678C">
        <w:tab/>
      </w:r>
    </w:p>
    <w:p w:rsidR="0078524A" w:rsidRPr="00D0678C" w:rsidRDefault="0078524A" w:rsidP="00D0678C">
      <w:pPr>
        <w:spacing w:line="360" w:lineRule="auto"/>
        <w:jc w:val="both"/>
      </w:pPr>
      <w:r w:rsidRPr="00D0678C">
        <w:lastRenderedPageBreak/>
        <w:tab/>
        <w:t xml:space="preserve">Não ficamos indiferentes aos dramas sociais que muitas famílias vivem – perda do único </w:t>
      </w:r>
      <w:proofErr w:type="spellStart"/>
      <w:r w:rsidRPr="00D0678C">
        <w:t>tecto</w:t>
      </w:r>
      <w:proofErr w:type="spellEnd"/>
      <w:r w:rsidRPr="00D0678C">
        <w:t xml:space="preserve"> que </w:t>
      </w:r>
      <w:r w:rsidR="00CA7DE4" w:rsidRPr="00D0678C">
        <w:t>possuem</w:t>
      </w:r>
      <w:r w:rsidR="008468DC" w:rsidRPr="00D0678C">
        <w:t>!</w:t>
      </w:r>
      <w:r w:rsidR="00CA7DE4" w:rsidRPr="00D0678C">
        <w:t xml:space="preserve"> – </w:t>
      </w:r>
      <w:proofErr w:type="gramStart"/>
      <w:r w:rsidRPr="00D0678C">
        <w:t>a</w:t>
      </w:r>
      <w:proofErr w:type="gramEnd"/>
      <w:r w:rsidRPr="00D0678C">
        <w:t xml:space="preserve"> antecâmara da miséria e da </w:t>
      </w:r>
      <w:r w:rsidR="00CA7DE4" w:rsidRPr="00D0678C">
        <w:t xml:space="preserve">mendicidade. Vemos isto como uma verdadeira </w:t>
      </w:r>
      <w:r w:rsidR="00CA7DE4" w:rsidRPr="00D0678C">
        <w:rPr>
          <w:i/>
        </w:rPr>
        <w:t>injustiça</w:t>
      </w:r>
      <w:r w:rsidR="00CA7DE4" w:rsidRPr="00D0678C">
        <w:t xml:space="preserve"> do ponto de vista humano</w:t>
      </w:r>
      <w:r w:rsidRPr="00D0678C">
        <w:tab/>
      </w:r>
      <w:r w:rsidR="00CA7DE4" w:rsidRPr="00D0678C">
        <w:t>e civilizacional</w:t>
      </w:r>
      <w:r w:rsidR="00682478" w:rsidRPr="00D0678C">
        <w:rPr>
          <w:rStyle w:val="FootnoteReference"/>
        </w:rPr>
        <w:footnoteReference w:id="97"/>
      </w:r>
      <w:r w:rsidR="00CA7DE4" w:rsidRPr="00D0678C">
        <w:t xml:space="preserve">. Porém, tal como aprendemos nas primeiras viagens no mundo do direito: “em muitos casos, a </w:t>
      </w:r>
      <w:r w:rsidR="008468DC" w:rsidRPr="00D0678C">
        <w:t>própria</w:t>
      </w:r>
      <w:r w:rsidR="00CA7DE4" w:rsidRPr="00D0678C">
        <w:t xml:space="preserve"> </w:t>
      </w:r>
      <w:r w:rsidR="00CA7DE4" w:rsidRPr="00D0678C">
        <w:rPr>
          <w:i/>
        </w:rPr>
        <w:t>praticabilidade</w:t>
      </w:r>
      <w:r w:rsidR="00CA7DE4" w:rsidRPr="00D0678C">
        <w:t xml:space="preserve"> do Direito pode exigir que o valor segurança prevaleça sobre o valor justiça […]</w:t>
      </w:r>
      <w:r w:rsidR="009517E8" w:rsidRPr="00D0678C">
        <w:t>,</w:t>
      </w:r>
      <w:r w:rsidR="00CA7DE4" w:rsidRPr="00D0678C">
        <w:t xml:space="preserve"> [</w:t>
      </w:r>
      <w:proofErr w:type="gramStart"/>
      <w:r w:rsidR="00CA7DE4" w:rsidRPr="00D0678C">
        <w:t>u]ma</w:t>
      </w:r>
      <w:proofErr w:type="gramEnd"/>
      <w:r w:rsidR="00CA7DE4" w:rsidRPr="00D0678C">
        <w:t xml:space="preserve"> justiça puramente ideal, desacompanhada de segurança [e certeza jurídica], seria vazia de eficácia e, por isso, não passaria de uma piedosa intenção”</w:t>
      </w:r>
      <w:r w:rsidR="00CA7DE4" w:rsidRPr="00D0678C">
        <w:rPr>
          <w:rStyle w:val="FootnoteReference"/>
        </w:rPr>
        <w:footnoteReference w:id="98"/>
      </w:r>
      <w:r w:rsidR="00CA7DE4" w:rsidRPr="00D0678C">
        <w:t xml:space="preserve">, </w:t>
      </w:r>
      <w:proofErr w:type="gramStart"/>
      <w:r w:rsidR="00CA7DE4" w:rsidRPr="00D0678C">
        <w:t>ou</w:t>
      </w:r>
      <w:proofErr w:type="gramEnd"/>
      <w:r w:rsidR="00CA7DE4" w:rsidRPr="00D0678C">
        <w:t xml:space="preserve"> seja,</w:t>
      </w:r>
      <w:r w:rsidR="008468DC" w:rsidRPr="00D0678C">
        <w:t xml:space="preserve"> o juiz de Portalegre ao procurar a justiça material </w:t>
      </w:r>
      <w:r w:rsidR="008468DC" w:rsidRPr="00D0678C">
        <w:rPr>
          <w:i/>
        </w:rPr>
        <w:t>ad hoc</w:t>
      </w:r>
      <w:r w:rsidR="008468DC" w:rsidRPr="00D0678C">
        <w:t xml:space="preserve"> pode desferir uma injustiça maior – </w:t>
      </w:r>
      <w:r w:rsidR="008468DC" w:rsidRPr="00D0678C">
        <w:rPr>
          <w:i/>
        </w:rPr>
        <w:t>porque não há maior injustiça do que a insegurança e incerteza</w:t>
      </w:r>
      <w:r w:rsidR="008468DC" w:rsidRPr="00D0678C">
        <w:t xml:space="preserve"> (jurídica). </w:t>
      </w:r>
    </w:p>
    <w:p w:rsidR="005E3DB5" w:rsidRPr="00D0678C" w:rsidRDefault="008468DC" w:rsidP="00D0678C">
      <w:pPr>
        <w:spacing w:line="360" w:lineRule="auto"/>
        <w:jc w:val="both"/>
      </w:pPr>
      <w:r w:rsidRPr="00D0678C">
        <w:tab/>
      </w:r>
      <w:r w:rsidR="00AD6DB8" w:rsidRPr="00D0678C">
        <w:t xml:space="preserve">É </w:t>
      </w:r>
      <w:r w:rsidRPr="00D0678C">
        <w:rPr>
          <w:i/>
        </w:rPr>
        <w:t>hora</w:t>
      </w:r>
      <w:r w:rsidR="00AD6DB8" w:rsidRPr="00D0678C">
        <w:t xml:space="preserve"> </w:t>
      </w:r>
      <w:r w:rsidR="005E3DB5" w:rsidRPr="00D0678C">
        <w:t>de</w:t>
      </w:r>
      <w:r w:rsidR="00AD6DB8" w:rsidRPr="00D0678C">
        <w:t xml:space="preserve"> empunharmos a ideia da Professora </w:t>
      </w:r>
      <w:r w:rsidR="00AD6DB8" w:rsidRPr="00D0678C">
        <w:rPr>
          <w:smallCaps/>
        </w:rPr>
        <w:t>Isabel Menéres Campos</w:t>
      </w:r>
      <w:r w:rsidR="00AD6DB8" w:rsidRPr="00D0678C">
        <w:rPr>
          <w:rStyle w:val="FootnoteReference"/>
          <w:smallCaps/>
        </w:rPr>
        <w:footnoteReference w:id="99"/>
      </w:r>
      <w:r w:rsidR="00AD6DB8" w:rsidRPr="00D0678C">
        <w:t xml:space="preserve">: o juiz de Portalegre travestido de </w:t>
      </w:r>
      <w:r w:rsidR="00AD6DB8" w:rsidRPr="00D0678C">
        <w:rPr>
          <w:i/>
        </w:rPr>
        <w:t>justiceiro</w:t>
      </w:r>
      <w:r w:rsidR="00AD6DB8" w:rsidRPr="00D0678C">
        <w:t xml:space="preserve"> </w:t>
      </w:r>
      <w:r w:rsidR="00AD6DB8" w:rsidRPr="00D0678C">
        <w:rPr>
          <w:i/>
        </w:rPr>
        <w:t>legislador</w:t>
      </w:r>
      <w:r w:rsidR="00AD6DB8" w:rsidRPr="00D0678C">
        <w:t xml:space="preserve"> desembainha </w:t>
      </w:r>
      <w:r w:rsidRPr="00D0678C">
        <w:t>uma sentença</w:t>
      </w:r>
      <w:r w:rsidR="00AD6DB8" w:rsidRPr="00D0678C">
        <w:t xml:space="preserve"> </w:t>
      </w:r>
      <w:r w:rsidR="00AD6DB8" w:rsidRPr="00D0678C">
        <w:rPr>
          <w:i/>
        </w:rPr>
        <w:t>contra</w:t>
      </w:r>
      <w:r w:rsidR="002C3611" w:rsidRPr="00D0678C">
        <w:rPr>
          <w:i/>
        </w:rPr>
        <w:t xml:space="preserve"> </w:t>
      </w:r>
      <w:proofErr w:type="spellStart"/>
      <w:r w:rsidR="00AD6DB8" w:rsidRPr="00D0678C">
        <w:rPr>
          <w:i/>
        </w:rPr>
        <w:t>legem</w:t>
      </w:r>
      <w:proofErr w:type="spellEnd"/>
      <w:r w:rsidRPr="00D0678C">
        <w:t xml:space="preserve"> e </w:t>
      </w:r>
      <w:r w:rsidRPr="00D0678C">
        <w:rPr>
          <w:i/>
        </w:rPr>
        <w:t xml:space="preserve">contra </w:t>
      </w:r>
      <w:proofErr w:type="spellStart"/>
      <w:r w:rsidRPr="00D0678C">
        <w:rPr>
          <w:i/>
        </w:rPr>
        <w:t>iustitia</w:t>
      </w:r>
      <w:proofErr w:type="spellEnd"/>
      <w:r w:rsidR="005E3DB5" w:rsidRPr="00D0678C">
        <w:rPr>
          <w:i/>
        </w:rPr>
        <w:t>.</w:t>
      </w:r>
    </w:p>
    <w:p w:rsidR="002A2042" w:rsidRPr="00D0678C" w:rsidRDefault="002A2042" w:rsidP="00D0678C">
      <w:pPr>
        <w:spacing w:line="360" w:lineRule="auto"/>
        <w:jc w:val="both"/>
      </w:pPr>
    </w:p>
    <w:p w:rsidR="007D4F4A" w:rsidRPr="00D0678C" w:rsidRDefault="007D4F4A" w:rsidP="00D0678C">
      <w:pPr>
        <w:spacing w:line="360" w:lineRule="auto"/>
        <w:jc w:val="both"/>
      </w:pPr>
    </w:p>
    <w:p w:rsidR="008468DC" w:rsidRPr="00D0678C" w:rsidRDefault="008468DC" w:rsidP="00D0678C">
      <w:pPr>
        <w:spacing w:line="360" w:lineRule="auto"/>
        <w:jc w:val="both"/>
      </w:pPr>
    </w:p>
    <w:p w:rsidR="008468DC" w:rsidRPr="00D0678C" w:rsidRDefault="008468DC" w:rsidP="00D0678C">
      <w:pPr>
        <w:spacing w:line="360" w:lineRule="auto"/>
        <w:jc w:val="both"/>
      </w:pPr>
    </w:p>
    <w:p w:rsidR="008468DC" w:rsidRPr="00D0678C" w:rsidRDefault="008468DC" w:rsidP="00D0678C">
      <w:pPr>
        <w:spacing w:line="360" w:lineRule="auto"/>
        <w:jc w:val="both"/>
      </w:pPr>
    </w:p>
    <w:p w:rsidR="008468DC" w:rsidRPr="00D0678C" w:rsidRDefault="008468DC" w:rsidP="00D0678C">
      <w:pPr>
        <w:spacing w:line="360" w:lineRule="auto"/>
        <w:jc w:val="both"/>
      </w:pPr>
    </w:p>
    <w:p w:rsidR="008468DC" w:rsidRPr="00D0678C" w:rsidRDefault="008468DC" w:rsidP="00D0678C">
      <w:pPr>
        <w:spacing w:line="360" w:lineRule="auto"/>
        <w:jc w:val="both"/>
      </w:pPr>
    </w:p>
    <w:p w:rsidR="008468DC" w:rsidRPr="00D0678C" w:rsidRDefault="008468DC" w:rsidP="00D0678C">
      <w:pPr>
        <w:spacing w:line="360" w:lineRule="auto"/>
        <w:jc w:val="both"/>
      </w:pPr>
    </w:p>
    <w:p w:rsidR="008468DC" w:rsidRPr="00D0678C" w:rsidRDefault="008468DC" w:rsidP="00D0678C">
      <w:pPr>
        <w:spacing w:line="360" w:lineRule="auto"/>
        <w:jc w:val="both"/>
      </w:pPr>
    </w:p>
    <w:p w:rsidR="008468DC" w:rsidRPr="00D0678C" w:rsidRDefault="008468DC" w:rsidP="00D0678C">
      <w:pPr>
        <w:spacing w:line="360" w:lineRule="auto"/>
        <w:jc w:val="both"/>
      </w:pPr>
    </w:p>
    <w:p w:rsidR="0051426A" w:rsidRPr="00D0678C" w:rsidRDefault="0051426A" w:rsidP="00D0678C">
      <w:pPr>
        <w:spacing w:line="360" w:lineRule="auto"/>
        <w:jc w:val="both"/>
      </w:pPr>
    </w:p>
    <w:p w:rsidR="0051426A" w:rsidRPr="00D0678C" w:rsidRDefault="0051426A" w:rsidP="00D0678C">
      <w:pPr>
        <w:spacing w:line="360" w:lineRule="auto"/>
        <w:jc w:val="both"/>
      </w:pPr>
    </w:p>
    <w:p w:rsidR="007D4F4A" w:rsidRPr="00D0678C" w:rsidRDefault="00895592" w:rsidP="00BF0A7D">
      <w:pPr>
        <w:spacing w:line="240" w:lineRule="auto"/>
        <w:jc w:val="both"/>
        <w:rPr>
          <w:b/>
        </w:rPr>
      </w:pPr>
      <w:r w:rsidRPr="00D0678C">
        <w:rPr>
          <w:b/>
        </w:rPr>
        <w:lastRenderedPageBreak/>
        <w:t>Abreviaturas:</w:t>
      </w:r>
    </w:p>
    <w:p w:rsidR="00DE331A" w:rsidRPr="00BF0A7D" w:rsidRDefault="00DE331A" w:rsidP="00BF0A7D">
      <w:pPr>
        <w:spacing w:line="240" w:lineRule="auto"/>
        <w:jc w:val="both"/>
        <w:rPr>
          <w:sz w:val="20"/>
        </w:rPr>
      </w:pPr>
      <w:r w:rsidRPr="00BF0A7D">
        <w:rPr>
          <w:sz w:val="20"/>
        </w:rPr>
        <w:t>A. – Autor(a)</w:t>
      </w:r>
    </w:p>
    <w:p w:rsidR="00895592" w:rsidRPr="00BF0A7D" w:rsidRDefault="00895592" w:rsidP="00BF0A7D">
      <w:pPr>
        <w:spacing w:line="240" w:lineRule="auto"/>
        <w:jc w:val="both"/>
        <w:rPr>
          <w:sz w:val="20"/>
        </w:rPr>
      </w:pPr>
      <w:r w:rsidRPr="00BF0A7D">
        <w:rPr>
          <w:sz w:val="20"/>
        </w:rPr>
        <w:t>EUA – Estados Unidos da América</w:t>
      </w:r>
    </w:p>
    <w:p w:rsidR="004A3BB1" w:rsidRPr="00BF0A7D" w:rsidRDefault="004A3BB1" w:rsidP="00BF0A7D">
      <w:pPr>
        <w:spacing w:line="240" w:lineRule="auto"/>
        <w:jc w:val="both"/>
        <w:rPr>
          <w:sz w:val="20"/>
        </w:rPr>
      </w:pPr>
      <w:r w:rsidRPr="00BF0A7D">
        <w:rPr>
          <w:sz w:val="20"/>
        </w:rPr>
        <w:t xml:space="preserve">CEO – </w:t>
      </w:r>
      <w:proofErr w:type="spellStart"/>
      <w:r w:rsidRPr="00BF0A7D">
        <w:rPr>
          <w:sz w:val="20"/>
        </w:rPr>
        <w:t>Chief</w:t>
      </w:r>
      <w:proofErr w:type="spellEnd"/>
      <w:r w:rsidRPr="00BF0A7D">
        <w:rPr>
          <w:sz w:val="20"/>
        </w:rPr>
        <w:t xml:space="preserve"> </w:t>
      </w:r>
      <w:proofErr w:type="spellStart"/>
      <w:r w:rsidRPr="00BF0A7D">
        <w:rPr>
          <w:sz w:val="20"/>
        </w:rPr>
        <w:t>Executive</w:t>
      </w:r>
      <w:proofErr w:type="spellEnd"/>
      <w:r w:rsidRPr="00BF0A7D">
        <w:rPr>
          <w:sz w:val="20"/>
        </w:rPr>
        <w:t xml:space="preserve"> </w:t>
      </w:r>
      <w:proofErr w:type="spellStart"/>
      <w:r w:rsidRPr="00BF0A7D">
        <w:rPr>
          <w:sz w:val="20"/>
        </w:rPr>
        <w:t>Officer</w:t>
      </w:r>
      <w:proofErr w:type="spellEnd"/>
      <w:r w:rsidRPr="00BF0A7D">
        <w:rPr>
          <w:sz w:val="20"/>
        </w:rPr>
        <w:t xml:space="preserve"> (Presidente Executivo)</w:t>
      </w:r>
    </w:p>
    <w:p w:rsidR="00267B26" w:rsidRPr="00BF0A7D" w:rsidRDefault="00267B26" w:rsidP="00BF0A7D">
      <w:pPr>
        <w:spacing w:line="240" w:lineRule="auto"/>
        <w:jc w:val="both"/>
        <w:rPr>
          <w:sz w:val="20"/>
        </w:rPr>
      </w:pPr>
      <w:proofErr w:type="spellStart"/>
      <w:r w:rsidRPr="00BF0A7D">
        <w:rPr>
          <w:sz w:val="20"/>
        </w:rPr>
        <w:t>CCom</w:t>
      </w:r>
      <w:proofErr w:type="spellEnd"/>
      <w:r w:rsidRPr="00BF0A7D">
        <w:rPr>
          <w:sz w:val="20"/>
        </w:rPr>
        <w:t xml:space="preserve"> – Código Comercial</w:t>
      </w:r>
    </w:p>
    <w:p w:rsidR="00267B26" w:rsidRPr="00BF0A7D" w:rsidRDefault="00267B26" w:rsidP="00BF0A7D">
      <w:pPr>
        <w:spacing w:line="240" w:lineRule="auto"/>
        <w:jc w:val="both"/>
        <w:rPr>
          <w:sz w:val="20"/>
        </w:rPr>
      </w:pPr>
      <w:r w:rsidRPr="00BF0A7D">
        <w:rPr>
          <w:sz w:val="20"/>
        </w:rPr>
        <w:t>CC – Código Civil</w:t>
      </w:r>
    </w:p>
    <w:p w:rsidR="00CA7734" w:rsidRPr="00BF0A7D" w:rsidRDefault="00CA7734" w:rsidP="00BF0A7D">
      <w:pPr>
        <w:spacing w:line="240" w:lineRule="auto"/>
        <w:jc w:val="both"/>
        <w:rPr>
          <w:sz w:val="20"/>
        </w:rPr>
      </w:pPr>
      <w:proofErr w:type="spellStart"/>
      <w:r w:rsidRPr="00BF0A7D">
        <w:rPr>
          <w:sz w:val="20"/>
        </w:rPr>
        <w:t>CRPre</w:t>
      </w:r>
      <w:proofErr w:type="spellEnd"/>
      <w:r w:rsidRPr="00BF0A7D">
        <w:rPr>
          <w:sz w:val="20"/>
        </w:rPr>
        <w:t>. – Código de Registo Predial</w:t>
      </w:r>
    </w:p>
    <w:p w:rsidR="00FB5188" w:rsidRPr="00BF0A7D" w:rsidRDefault="00FB5188" w:rsidP="00BF0A7D">
      <w:pPr>
        <w:spacing w:line="240" w:lineRule="auto"/>
        <w:jc w:val="both"/>
        <w:rPr>
          <w:sz w:val="20"/>
        </w:rPr>
      </w:pPr>
      <w:r w:rsidRPr="00BF0A7D">
        <w:rPr>
          <w:sz w:val="20"/>
        </w:rPr>
        <w:t>CPC – Código de Processo Civil (2013)</w:t>
      </w:r>
    </w:p>
    <w:p w:rsidR="001C15C2" w:rsidRDefault="001C15C2" w:rsidP="00BF0A7D">
      <w:pPr>
        <w:spacing w:line="240" w:lineRule="auto"/>
        <w:jc w:val="both"/>
        <w:rPr>
          <w:sz w:val="20"/>
        </w:rPr>
      </w:pPr>
      <w:r w:rsidRPr="00BF0A7D">
        <w:rPr>
          <w:sz w:val="20"/>
        </w:rPr>
        <w:t xml:space="preserve">TJUE – </w:t>
      </w:r>
      <w:r w:rsidR="006F76B0" w:rsidRPr="00BF0A7D">
        <w:rPr>
          <w:sz w:val="20"/>
        </w:rPr>
        <w:t>Tribunal</w:t>
      </w:r>
      <w:r w:rsidRPr="00BF0A7D">
        <w:rPr>
          <w:sz w:val="20"/>
        </w:rPr>
        <w:t xml:space="preserve"> de Justiça da União Europeia</w:t>
      </w:r>
    </w:p>
    <w:p w:rsidR="00BF0A7D" w:rsidRPr="00BF0A7D" w:rsidRDefault="00BF0A7D" w:rsidP="00BF0A7D">
      <w:pPr>
        <w:spacing w:line="240" w:lineRule="auto"/>
        <w:jc w:val="both"/>
        <w:rPr>
          <w:sz w:val="20"/>
        </w:rPr>
      </w:pPr>
    </w:p>
    <w:p w:rsidR="00F50AED" w:rsidRPr="00BF0A7D" w:rsidRDefault="007D4F4A" w:rsidP="00D0678C">
      <w:pPr>
        <w:spacing w:line="360" w:lineRule="auto"/>
        <w:jc w:val="both"/>
        <w:rPr>
          <w:smallCaps/>
          <w:sz w:val="22"/>
        </w:rPr>
      </w:pPr>
      <w:r w:rsidRPr="00BF0A7D">
        <w:rPr>
          <w:b/>
          <w:sz w:val="22"/>
        </w:rPr>
        <w:t>Bibliografia:</w:t>
      </w:r>
      <w:r w:rsidR="00F50AED" w:rsidRPr="00BF0A7D">
        <w:rPr>
          <w:smallCaps/>
          <w:sz w:val="22"/>
        </w:rPr>
        <w:t xml:space="preserve"> </w:t>
      </w:r>
    </w:p>
    <w:p w:rsidR="00F50AED" w:rsidRPr="00BF0A7D" w:rsidRDefault="004008DF" w:rsidP="00D0678C">
      <w:pPr>
        <w:spacing w:line="360" w:lineRule="auto"/>
        <w:jc w:val="both"/>
        <w:rPr>
          <w:b/>
          <w:sz w:val="22"/>
        </w:rPr>
      </w:pPr>
      <w:r w:rsidRPr="00BF0A7D">
        <w:rPr>
          <w:sz w:val="22"/>
        </w:rPr>
        <w:t>–</w:t>
      </w:r>
      <w:r w:rsidR="00FF4CC3" w:rsidRPr="00BF0A7D">
        <w:rPr>
          <w:sz w:val="22"/>
        </w:rPr>
        <w:t xml:space="preserve"> </w:t>
      </w:r>
      <w:r w:rsidR="00F50AED" w:rsidRPr="00BF0A7D">
        <w:rPr>
          <w:smallCaps/>
          <w:sz w:val="22"/>
        </w:rPr>
        <w:t>Almeida, Carlos Ferreira de</w:t>
      </w:r>
      <w:r w:rsidR="00F50AED" w:rsidRPr="00BF0A7D">
        <w:rPr>
          <w:sz w:val="22"/>
        </w:rPr>
        <w:t xml:space="preserve">, </w:t>
      </w:r>
      <w:r w:rsidR="00F50AED" w:rsidRPr="00BF0A7D">
        <w:rPr>
          <w:i/>
          <w:sz w:val="22"/>
        </w:rPr>
        <w:t>Contratos II</w:t>
      </w:r>
      <w:r w:rsidR="00F50AED" w:rsidRPr="00BF0A7D">
        <w:rPr>
          <w:sz w:val="22"/>
        </w:rPr>
        <w:t>, 3ª ed., Almedina, Coimbra, 2012</w:t>
      </w:r>
      <w:r w:rsidR="00BE218E" w:rsidRPr="00BF0A7D">
        <w:rPr>
          <w:sz w:val="22"/>
        </w:rPr>
        <w:t>.</w:t>
      </w:r>
    </w:p>
    <w:p w:rsidR="00F50AED" w:rsidRPr="00BF0A7D" w:rsidRDefault="004008DF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 xml:space="preserve">– </w:t>
      </w:r>
      <w:r w:rsidR="00F50AED" w:rsidRPr="00BF0A7D">
        <w:rPr>
          <w:smallCaps/>
          <w:sz w:val="22"/>
        </w:rPr>
        <w:t>Almeida costa,</w:t>
      </w:r>
      <w:r w:rsidR="00F50AED" w:rsidRPr="00BF0A7D">
        <w:rPr>
          <w:sz w:val="22"/>
        </w:rPr>
        <w:t xml:space="preserve"> </w:t>
      </w:r>
      <w:r w:rsidR="00F50AED" w:rsidRPr="00BF0A7D">
        <w:rPr>
          <w:i/>
          <w:sz w:val="22"/>
        </w:rPr>
        <w:t>Direito das Obrigações</w:t>
      </w:r>
      <w:r w:rsidR="004F0296" w:rsidRPr="00BF0A7D">
        <w:rPr>
          <w:sz w:val="22"/>
        </w:rPr>
        <w:t>, 12ª ed., Almedina, Coimbra, 2013</w:t>
      </w:r>
      <w:r w:rsidR="00BE218E" w:rsidRPr="00BF0A7D">
        <w:rPr>
          <w:sz w:val="22"/>
        </w:rPr>
        <w:t>.</w:t>
      </w:r>
    </w:p>
    <w:p w:rsidR="00B242B0" w:rsidRPr="00BF0A7D" w:rsidRDefault="004008DF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 xml:space="preserve">– </w:t>
      </w:r>
      <w:r w:rsidR="00B242B0" w:rsidRPr="00BF0A7D">
        <w:rPr>
          <w:smallCaps/>
          <w:sz w:val="22"/>
        </w:rPr>
        <w:t>Câmara, Carla Inês Brás</w:t>
      </w:r>
      <w:r w:rsidR="00B242B0" w:rsidRPr="00BF0A7D">
        <w:rPr>
          <w:sz w:val="22"/>
        </w:rPr>
        <w:t xml:space="preserve">, </w:t>
      </w:r>
      <w:r w:rsidR="00B242B0" w:rsidRPr="00BF0A7D">
        <w:rPr>
          <w:i/>
          <w:sz w:val="22"/>
        </w:rPr>
        <w:t>A Aquisição da Propriedade do Bem Hipotecado Pelo Credor e a Questão da Satisfação (Integral ou Parcial) do Crédito</w:t>
      </w:r>
      <w:r w:rsidR="00B242B0" w:rsidRPr="00BF0A7D">
        <w:rPr>
          <w:sz w:val="22"/>
        </w:rPr>
        <w:t xml:space="preserve">, AAVV </w:t>
      </w:r>
      <w:r w:rsidR="00B242B0" w:rsidRPr="00BF0A7D">
        <w:rPr>
          <w:i/>
          <w:sz w:val="22"/>
        </w:rPr>
        <w:t>in</w:t>
      </w:r>
      <w:r w:rsidR="00B242B0" w:rsidRPr="00BF0A7D">
        <w:rPr>
          <w:sz w:val="22"/>
        </w:rPr>
        <w:t xml:space="preserve"> Estudos em Homenagem ao Professor Dr. Lebre de Freitas, Vol. I, Coimbra Editora, Coimbra, 2013.</w:t>
      </w:r>
    </w:p>
    <w:p w:rsidR="00B242B0" w:rsidRPr="00BF0A7D" w:rsidRDefault="004008DF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 xml:space="preserve">– </w:t>
      </w:r>
      <w:r w:rsidR="00B242B0" w:rsidRPr="00BF0A7D">
        <w:rPr>
          <w:smallCaps/>
          <w:sz w:val="22"/>
        </w:rPr>
        <w:t xml:space="preserve">Campos, Isabel Menéres, </w:t>
      </w:r>
      <w:r w:rsidR="00B242B0" w:rsidRPr="00BF0A7D">
        <w:rPr>
          <w:i/>
          <w:sz w:val="22"/>
        </w:rPr>
        <w:t>Da Hipoteca – Caracterização, Constituição e Efeitos</w:t>
      </w:r>
      <w:r w:rsidR="00BE218E" w:rsidRPr="00BF0A7D">
        <w:rPr>
          <w:sz w:val="22"/>
        </w:rPr>
        <w:t>, Almedina, Coimbra, 2003;</w:t>
      </w:r>
    </w:p>
    <w:p w:rsidR="00B242B0" w:rsidRPr="00BF0A7D" w:rsidRDefault="00B242B0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ab/>
      </w:r>
      <w:r w:rsidRPr="00BF0A7D">
        <w:rPr>
          <w:sz w:val="22"/>
        </w:rPr>
        <w:tab/>
        <w:t xml:space="preserve">– </w:t>
      </w:r>
      <w:r w:rsidRPr="00BF0A7D">
        <w:rPr>
          <w:i/>
          <w:sz w:val="22"/>
        </w:rPr>
        <w:t>Comentário à (muito) falada sentença do Tribunal Judicial de Portalegre de 4 Janeiro de 2012</w:t>
      </w:r>
      <w:r w:rsidRPr="00BF0A7D">
        <w:rPr>
          <w:sz w:val="22"/>
        </w:rPr>
        <w:t>, in Cadernos de Direito P</w:t>
      </w:r>
      <w:r w:rsidR="00BE218E" w:rsidRPr="00BF0A7D">
        <w:rPr>
          <w:sz w:val="22"/>
        </w:rPr>
        <w:t>rivado, nº 38, Abril/Junho 2012;</w:t>
      </w:r>
    </w:p>
    <w:p w:rsidR="00B242B0" w:rsidRPr="00BF0A7D" w:rsidRDefault="00B242B0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ab/>
      </w:r>
      <w:r w:rsidRPr="00BF0A7D">
        <w:rPr>
          <w:sz w:val="22"/>
        </w:rPr>
        <w:tab/>
        <w:t xml:space="preserve">– </w:t>
      </w:r>
      <w:r w:rsidRPr="00BF0A7D">
        <w:rPr>
          <w:i/>
          <w:sz w:val="22"/>
        </w:rPr>
        <w:t xml:space="preserve">O Justiceiro: o estranho caso do Juiz </w:t>
      </w:r>
      <w:r w:rsidR="002A43B5" w:rsidRPr="00BF0A7D">
        <w:rPr>
          <w:i/>
          <w:sz w:val="22"/>
        </w:rPr>
        <w:t>Legislador</w:t>
      </w:r>
      <w:r w:rsidRPr="00BF0A7D">
        <w:rPr>
          <w:sz w:val="22"/>
        </w:rPr>
        <w:t xml:space="preserve">, </w:t>
      </w:r>
      <w:r w:rsidRPr="00BF0A7D">
        <w:rPr>
          <w:i/>
          <w:sz w:val="22"/>
        </w:rPr>
        <w:t>in</w:t>
      </w:r>
      <w:r w:rsidRPr="00BF0A7D">
        <w:rPr>
          <w:sz w:val="22"/>
        </w:rPr>
        <w:t xml:space="preserve"> Ipso </w:t>
      </w:r>
      <w:proofErr w:type="spellStart"/>
      <w:r w:rsidRPr="00BF0A7D">
        <w:rPr>
          <w:sz w:val="22"/>
        </w:rPr>
        <w:t>Iure</w:t>
      </w:r>
      <w:proofErr w:type="spellEnd"/>
      <w:r w:rsidRPr="00BF0A7D">
        <w:rPr>
          <w:sz w:val="22"/>
        </w:rPr>
        <w:t xml:space="preserve"> (Conselho Distrital do Porto da Ordem dos </w:t>
      </w:r>
      <w:r w:rsidR="00BE218E" w:rsidRPr="00BF0A7D">
        <w:rPr>
          <w:sz w:val="22"/>
        </w:rPr>
        <w:t>Advogados), nº 36, Maio de 2012;</w:t>
      </w:r>
    </w:p>
    <w:p w:rsidR="00B242B0" w:rsidRPr="00BF0A7D" w:rsidRDefault="00B242B0" w:rsidP="00D0678C">
      <w:pPr>
        <w:spacing w:line="360" w:lineRule="auto"/>
        <w:jc w:val="both"/>
        <w:rPr>
          <w:i/>
          <w:sz w:val="22"/>
        </w:rPr>
      </w:pPr>
      <w:r w:rsidRPr="00BF0A7D">
        <w:rPr>
          <w:sz w:val="22"/>
        </w:rPr>
        <w:tab/>
      </w:r>
      <w:r w:rsidRPr="00BF0A7D">
        <w:rPr>
          <w:sz w:val="22"/>
        </w:rPr>
        <w:tab/>
        <w:t xml:space="preserve">– </w:t>
      </w:r>
      <w:r w:rsidRPr="00BF0A7D">
        <w:rPr>
          <w:i/>
          <w:sz w:val="22"/>
        </w:rPr>
        <w:t xml:space="preserve">Particularidades da Execução de Hipoteca – </w:t>
      </w:r>
      <w:proofErr w:type="spellStart"/>
      <w:r w:rsidRPr="00BF0A7D">
        <w:rPr>
          <w:i/>
          <w:sz w:val="22"/>
        </w:rPr>
        <w:t>Working</w:t>
      </w:r>
      <w:proofErr w:type="spellEnd"/>
      <w:r w:rsidRPr="00BF0A7D">
        <w:rPr>
          <w:i/>
          <w:sz w:val="22"/>
        </w:rPr>
        <w:t xml:space="preserve"> </w:t>
      </w:r>
      <w:proofErr w:type="spellStart"/>
      <w:r w:rsidRPr="00BF0A7D">
        <w:rPr>
          <w:i/>
          <w:sz w:val="22"/>
        </w:rPr>
        <w:t>paper</w:t>
      </w:r>
      <w:proofErr w:type="spellEnd"/>
      <w:r w:rsidRPr="00BF0A7D">
        <w:rPr>
          <w:sz w:val="22"/>
        </w:rPr>
        <w:t xml:space="preserve">, </w:t>
      </w:r>
      <w:r w:rsidRPr="00BF0A7D">
        <w:rPr>
          <w:i/>
          <w:sz w:val="22"/>
        </w:rPr>
        <w:t>in</w:t>
      </w:r>
      <w:r w:rsidRPr="00BF0A7D">
        <w:rPr>
          <w:sz w:val="22"/>
        </w:rPr>
        <w:t xml:space="preserve"> A Reforma da </w:t>
      </w:r>
      <w:proofErr w:type="spellStart"/>
      <w:r w:rsidRPr="00BF0A7D">
        <w:rPr>
          <w:sz w:val="22"/>
        </w:rPr>
        <w:t>Acção</w:t>
      </w:r>
      <w:proofErr w:type="spellEnd"/>
      <w:r w:rsidRPr="00BF0A7D">
        <w:rPr>
          <w:sz w:val="22"/>
        </w:rPr>
        <w:t xml:space="preserve"> Executiva, Conferências Organizadas pela DGPJ, Fevereiro de 2001.</w:t>
      </w:r>
    </w:p>
    <w:p w:rsidR="00B242B0" w:rsidRPr="00BF0A7D" w:rsidRDefault="004008DF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 xml:space="preserve">– </w:t>
      </w:r>
      <w:r w:rsidR="00B242B0" w:rsidRPr="00BF0A7D">
        <w:rPr>
          <w:smallCaps/>
          <w:sz w:val="22"/>
        </w:rPr>
        <w:t xml:space="preserve">Engrácia </w:t>
      </w:r>
      <w:r w:rsidR="002F2916" w:rsidRPr="00BF0A7D">
        <w:rPr>
          <w:smallCaps/>
          <w:sz w:val="22"/>
        </w:rPr>
        <w:t>An</w:t>
      </w:r>
      <w:r w:rsidR="00B242B0" w:rsidRPr="00BF0A7D">
        <w:rPr>
          <w:smallCaps/>
          <w:sz w:val="22"/>
        </w:rPr>
        <w:t>tunes</w:t>
      </w:r>
      <w:r w:rsidR="00B242B0" w:rsidRPr="00BF0A7D">
        <w:rPr>
          <w:sz w:val="22"/>
        </w:rPr>
        <w:t xml:space="preserve">, </w:t>
      </w:r>
      <w:r w:rsidR="00B242B0" w:rsidRPr="00BF0A7D">
        <w:rPr>
          <w:i/>
          <w:sz w:val="22"/>
        </w:rPr>
        <w:t>Direito dos Contratos Comerciais</w:t>
      </w:r>
      <w:r w:rsidR="00B242B0" w:rsidRPr="00BF0A7D">
        <w:rPr>
          <w:sz w:val="22"/>
        </w:rPr>
        <w:t>, Almedina, Coimbra, 2012</w:t>
      </w:r>
      <w:r w:rsidR="00BE218E" w:rsidRPr="00BF0A7D">
        <w:rPr>
          <w:sz w:val="22"/>
        </w:rPr>
        <w:t>.</w:t>
      </w:r>
    </w:p>
    <w:p w:rsidR="00B242B0" w:rsidRPr="00BF0A7D" w:rsidRDefault="00BF0A7D" w:rsidP="00D0678C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– </w:t>
      </w:r>
      <w:r w:rsidR="00B242B0" w:rsidRPr="00BF0A7D">
        <w:rPr>
          <w:smallCaps/>
          <w:sz w:val="22"/>
        </w:rPr>
        <w:t xml:space="preserve">Galvão Telles, Inocêncio, </w:t>
      </w:r>
      <w:r w:rsidR="00B242B0" w:rsidRPr="00BF0A7D">
        <w:rPr>
          <w:i/>
          <w:sz w:val="22"/>
        </w:rPr>
        <w:t xml:space="preserve">Introdução ao </w:t>
      </w:r>
      <w:r w:rsidR="00BE218E" w:rsidRPr="00BF0A7D">
        <w:rPr>
          <w:i/>
          <w:sz w:val="22"/>
        </w:rPr>
        <w:t>E</w:t>
      </w:r>
      <w:r w:rsidR="00B242B0" w:rsidRPr="00BF0A7D">
        <w:rPr>
          <w:i/>
          <w:sz w:val="22"/>
        </w:rPr>
        <w:t>studo do Direito</w:t>
      </w:r>
      <w:r w:rsidR="00A1439B" w:rsidRPr="00BF0A7D">
        <w:rPr>
          <w:sz w:val="22"/>
        </w:rPr>
        <w:t xml:space="preserve">,11ª ed., </w:t>
      </w:r>
      <w:r w:rsidR="00B242B0" w:rsidRPr="00BF0A7D">
        <w:rPr>
          <w:sz w:val="22"/>
        </w:rPr>
        <w:t xml:space="preserve">Coimbra Editora, Coimbra, Vol. I, 2001. </w:t>
      </w:r>
    </w:p>
    <w:p w:rsidR="00B242B0" w:rsidRPr="00BF0A7D" w:rsidRDefault="004008DF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 xml:space="preserve">– </w:t>
      </w:r>
      <w:r w:rsidR="00B242B0" w:rsidRPr="00BF0A7D">
        <w:rPr>
          <w:smallCaps/>
          <w:sz w:val="22"/>
        </w:rPr>
        <w:t>George Soros</w:t>
      </w:r>
      <w:r w:rsidR="00B242B0" w:rsidRPr="00BF0A7D">
        <w:rPr>
          <w:i/>
          <w:sz w:val="22"/>
        </w:rPr>
        <w:t>, O Novo Paradigma dos Mercados Financeiros</w:t>
      </w:r>
      <w:r w:rsidR="00B242B0" w:rsidRPr="00BF0A7D">
        <w:rPr>
          <w:sz w:val="22"/>
        </w:rPr>
        <w:t xml:space="preserve"> – </w:t>
      </w:r>
      <w:r w:rsidR="00B242B0" w:rsidRPr="00BF0A7D">
        <w:rPr>
          <w:i/>
          <w:sz w:val="22"/>
        </w:rPr>
        <w:t>A Crise Financeira de 2008 e o Seu Significado</w:t>
      </w:r>
      <w:r w:rsidR="00B242B0" w:rsidRPr="00BF0A7D">
        <w:rPr>
          <w:sz w:val="22"/>
        </w:rPr>
        <w:t>, 2ªedição, Almedina, Coimbra, 2009.</w:t>
      </w:r>
    </w:p>
    <w:p w:rsidR="00356116" w:rsidRPr="00BF0A7D" w:rsidRDefault="00356116" w:rsidP="00D0678C">
      <w:pPr>
        <w:spacing w:line="360" w:lineRule="auto"/>
        <w:jc w:val="both"/>
        <w:rPr>
          <w:color w:val="000000"/>
          <w:sz w:val="22"/>
        </w:rPr>
      </w:pPr>
      <w:r w:rsidRPr="00BF0A7D">
        <w:rPr>
          <w:sz w:val="22"/>
        </w:rPr>
        <w:lastRenderedPageBreak/>
        <w:t xml:space="preserve">– </w:t>
      </w:r>
      <w:proofErr w:type="spellStart"/>
      <w:r w:rsidRPr="00BF0A7D">
        <w:rPr>
          <w:smallCaps/>
          <w:sz w:val="22"/>
        </w:rPr>
        <w:t>Guillermo</w:t>
      </w:r>
      <w:proofErr w:type="spellEnd"/>
      <w:r w:rsidRPr="00BF0A7D">
        <w:rPr>
          <w:smallCaps/>
          <w:sz w:val="22"/>
        </w:rPr>
        <w:t xml:space="preserve"> </w:t>
      </w:r>
      <w:proofErr w:type="spellStart"/>
      <w:r w:rsidRPr="00BF0A7D">
        <w:rPr>
          <w:smallCaps/>
          <w:sz w:val="22"/>
        </w:rPr>
        <w:t>Orozco</w:t>
      </w:r>
      <w:proofErr w:type="spellEnd"/>
      <w:r w:rsidRPr="00BF0A7D">
        <w:rPr>
          <w:smallCaps/>
          <w:sz w:val="22"/>
        </w:rPr>
        <w:t xml:space="preserve"> Pardo / Jose Luis Perez </w:t>
      </w:r>
      <w:proofErr w:type="spellStart"/>
      <w:r w:rsidRPr="00BF0A7D">
        <w:rPr>
          <w:smallCaps/>
          <w:sz w:val="22"/>
        </w:rPr>
        <w:t>Serraboana</w:t>
      </w:r>
      <w:proofErr w:type="spellEnd"/>
      <w:r w:rsidRPr="00BF0A7D">
        <w:rPr>
          <w:smallCaps/>
          <w:sz w:val="22"/>
        </w:rPr>
        <w:t xml:space="preserve"> </w:t>
      </w:r>
      <w:proofErr w:type="spellStart"/>
      <w:r w:rsidRPr="00BF0A7D">
        <w:rPr>
          <w:smallCaps/>
          <w:sz w:val="22"/>
        </w:rPr>
        <w:t>González</w:t>
      </w:r>
      <w:proofErr w:type="spellEnd"/>
      <w:r w:rsidRPr="00BF0A7D">
        <w:rPr>
          <w:color w:val="000000"/>
          <w:sz w:val="22"/>
        </w:rPr>
        <w:t xml:space="preserve">, </w:t>
      </w:r>
      <w:r w:rsidRPr="00BF0A7D">
        <w:rPr>
          <w:i/>
          <w:color w:val="000000"/>
          <w:sz w:val="22"/>
        </w:rPr>
        <w:t xml:space="preserve">Problemática de la </w:t>
      </w:r>
      <w:proofErr w:type="spellStart"/>
      <w:r w:rsidRPr="00BF0A7D">
        <w:rPr>
          <w:i/>
          <w:color w:val="000000"/>
          <w:sz w:val="22"/>
        </w:rPr>
        <w:t>Ejecución</w:t>
      </w:r>
      <w:proofErr w:type="spellEnd"/>
      <w:r w:rsidRPr="00BF0A7D">
        <w:rPr>
          <w:i/>
          <w:color w:val="000000"/>
          <w:sz w:val="22"/>
        </w:rPr>
        <w:t xml:space="preserve"> Hipotecaria </w:t>
      </w:r>
      <w:proofErr w:type="spellStart"/>
      <w:r w:rsidRPr="00BF0A7D">
        <w:rPr>
          <w:i/>
          <w:color w:val="000000"/>
          <w:sz w:val="22"/>
        </w:rPr>
        <w:t>en</w:t>
      </w:r>
      <w:proofErr w:type="spellEnd"/>
      <w:r w:rsidRPr="00BF0A7D">
        <w:rPr>
          <w:i/>
          <w:color w:val="000000"/>
          <w:sz w:val="22"/>
        </w:rPr>
        <w:t xml:space="preserve"> el Contexto de la Crisis </w:t>
      </w:r>
      <w:proofErr w:type="spellStart"/>
      <w:r w:rsidRPr="00BF0A7D">
        <w:rPr>
          <w:i/>
          <w:color w:val="000000"/>
          <w:sz w:val="22"/>
        </w:rPr>
        <w:t>Financiera</w:t>
      </w:r>
      <w:proofErr w:type="spellEnd"/>
      <w:r w:rsidRPr="00BF0A7D">
        <w:rPr>
          <w:color w:val="000000"/>
          <w:sz w:val="22"/>
        </w:rPr>
        <w:t xml:space="preserve">, AAVV, </w:t>
      </w:r>
      <w:proofErr w:type="spellStart"/>
      <w:r w:rsidRPr="00BF0A7D">
        <w:rPr>
          <w:i/>
          <w:color w:val="000000"/>
          <w:sz w:val="22"/>
        </w:rPr>
        <w:t>Liber</w:t>
      </w:r>
      <w:proofErr w:type="spellEnd"/>
      <w:r w:rsidRPr="00BF0A7D">
        <w:rPr>
          <w:i/>
          <w:color w:val="000000"/>
          <w:sz w:val="22"/>
        </w:rPr>
        <w:t xml:space="preserve"> </w:t>
      </w:r>
      <w:proofErr w:type="spellStart"/>
      <w:r w:rsidRPr="00BF0A7D">
        <w:rPr>
          <w:i/>
          <w:color w:val="000000"/>
          <w:sz w:val="22"/>
        </w:rPr>
        <w:t>Amicorum</w:t>
      </w:r>
      <w:proofErr w:type="spellEnd"/>
      <w:r w:rsidRPr="00BF0A7D">
        <w:rPr>
          <w:color w:val="000000"/>
          <w:sz w:val="22"/>
        </w:rPr>
        <w:t xml:space="preserve"> </w:t>
      </w:r>
      <w:r w:rsidRPr="00BF0A7D">
        <w:rPr>
          <w:smallCaps/>
          <w:color w:val="000000"/>
          <w:sz w:val="22"/>
        </w:rPr>
        <w:t>Mário</w:t>
      </w:r>
      <w:r w:rsidRPr="00BF0A7D">
        <w:rPr>
          <w:color w:val="000000"/>
          <w:sz w:val="22"/>
        </w:rPr>
        <w:t xml:space="preserve"> </w:t>
      </w:r>
      <w:r w:rsidRPr="00BF0A7D">
        <w:rPr>
          <w:smallCaps/>
          <w:color w:val="000000"/>
          <w:sz w:val="22"/>
        </w:rPr>
        <w:t>Frota</w:t>
      </w:r>
      <w:r w:rsidRPr="00BF0A7D">
        <w:rPr>
          <w:color w:val="000000"/>
          <w:sz w:val="22"/>
        </w:rPr>
        <w:t>, Almedina, Coimbra, 2012.</w:t>
      </w:r>
    </w:p>
    <w:p w:rsidR="00C05266" w:rsidRPr="00BF0A7D" w:rsidRDefault="00C05266" w:rsidP="00D0678C">
      <w:pPr>
        <w:spacing w:line="360" w:lineRule="auto"/>
        <w:jc w:val="both"/>
        <w:rPr>
          <w:smallCaps/>
          <w:sz w:val="22"/>
        </w:rPr>
      </w:pPr>
      <w:r w:rsidRPr="00BF0A7D">
        <w:rPr>
          <w:smallCaps/>
          <w:sz w:val="22"/>
        </w:rPr>
        <w:t xml:space="preserve"> </w:t>
      </w:r>
      <w:r w:rsidRPr="00BF0A7D">
        <w:rPr>
          <w:sz w:val="22"/>
        </w:rPr>
        <w:t xml:space="preserve">– </w:t>
      </w:r>
      <w:r w:rsidRPr="00BF0A7D">
        <w:rPr>
          <w:smallCaps/>
          <w:sz w:val="22"/>
        </w:rPr>
        <w:t xml:space="preserve">Heinrich </w:t>
      </w:r>
      <w:proofErr w:type="spellStart"/>
      <w:r w:rsidRPr="00BF0A7D">
        <w:rPr>
          <w:smallCaps/>
          <w:sz w:val="22"/>
        </w:rPr>
        <w:t>Horster</w:t>
      </w:r>
      <w:proofErr w:type="spellEnd"/>
      <w:r w:rsidRPr="00BF0A7D">
        <w:rPr>
          <w:smallCaps/>
          <w:sz w:val="22"/>
        </w:rPr>
        <w:t xml:space="preserve">, </w:t>
      </w:r>
      <w:r w:rsidRPr="00BF0A7D">
        <w:rPr>
          <w:i/>
          <w:sz w:val="22"/>
        </w:rPr>
        <w:t>A Parte Geral do Código Civil Português – Teoria Geral do Direito Civil</w:t>
      </w:r>
      <w:r w:rsidRPr="00BF0A7D">
        <w:rPr>
          <w:sz w:val="22"/>
        </w:rPr>
        <w:t>, Almedina, Coimbra</w:t>
      </w:r>
      <w:r w:rsidRPr="00BF0A7D">
        <w:rPr>
          <w:smallCaps/>
          <w:sz w:val="22"/>
        </w:rPr>
        <w:t>, 2007.</w:t>
      </w:r>
    </w:p>
    <w:p w:rsidR="00A1439B" w:rsidRPr="00BF0A7D" w:rsidRDefault="00A1439B" w:rsidP="00D0678C">
      <w:pPr>
        <w:spacing w:line="360" w:lineRule="auto"/>
        <w:jc w:val="both"/>
        <w:rPr>
          <w:smallCaps/>
          <w:sz w:val="22"/>
        </w:rPr>
      </w:pPr>
      <w:r w:rsidRPr="00BF0A7D">
        <w:rPr>
          <w:sz w:val="22"/>
        </w:rPr>
        <w:t xml:space="preserve">– </w:t>
      </w:r>
      <w:r w:rsidRPr="00BF0A7D">
        <w:rPr>
          <w:smallCaps/>
          <w:sz w:val="22"/>
        </w:rPr>
        <w:t>Henrique Mesquita</w:t>
      </w:r>
      <w:r w:rsidRPr="00BF0A7D">
        <w:rPr>
          <w:sz w:val="22"/>
        </w:rPr>
        <w:t xml:space="preserve">, </w:t>
      </w:r>
      <w:r w:rsidRPr="00BF0A7D">
        <w:rPr>
          <w:i/>
          <w:sz w:val="22"/>
        </w:rPr>
        <w:t>Obrigações reais e Ónus Reais</w:t>
      </w:r>
      <w:r w:rsidRPr="00BF0A7D">
        <w:rPr>
          <w:sz w:val="22"/>
        </w:rPr>
        <w:t>, Almedina, 2000.</w:t>
      </w:r>
    </w:p>
    <w:p w:rsidR="00DA41DE" w:rsidRPr="00BF0A7D" w:rsidRDefault="002F2916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 xml:space="preserve">– </w:t>
      </w:r>
      <w:r w:rsidRPr="00BF0A7D">
        <w:rPr>
          <w:smallCaps/>
          <w:sz w:val="22"/>
        </w:rPr>
        <w:t xml:space="preserve">Lebre de freitas, </w:t>
      </w:r>
      <w:r w:rsidRPr="00BF0A7D">
        <w:rPr>
          <w:i/>
          <w:sz w:val="22"/>
        </w:rPr>
        <w:t xml:space="preserve">A </w:t>
      </w:r>
      <w:proofErr w:type="spellStart"/>
      <w:r w:rsidRPr="00BF0A7D">
        <w:rPr>
          <w:i/>
          <w:sz w:val="22"/>
        </w:rPr>
        <w:t>acção</w:t>
      </w:r>
      <w:proofErr w:type="spellEnd"/>
      <w:r w:rsidRPr="00BF0A7D">
        <w:rPr>
          <w:i/>
          <w:sz w:val="22"/>
        </w:rPr>
        <w:t xml:space="preserve"> Executiva – À Luz do Código de Processo civil de 2013</w:t>
      </w:r>
      <w:r w:rsidRPr="00BF0A7D">
        <w:rPr>
          <w:sz w:val="22"/>
        </w:rPr>
        <w:t>, 6ª ed., Coimbra Editora, Coimbra, 2014.</w:t>
      </w:r>
    </w:p>
    <w:p w:rsidR="00DA41DE" w:rsidRPr="00BF0A7D" w:rsidRDefault="00DA41DE" w:rsidP="00D0678C">
      <w:pPr>
        <w:spacing w:line="360" w:lineRule="auto"/>
        <w:jc w:val="both"/>
        <w:rPr>
          <w:b/>
          <w:sz w:val="22"/>
        </w:rPr>
      </w:pPr>
      <w:r w:rsidRPr="00BF0A7D">
        <w:rPr>
          <w:sz w:val="22"/>
        </w:rPr>
        <w:t xml:space="preserve">– </w:t>
      </w:r>
      <w:r w:rsidRPr="00BF0A7D">
        <w:rPr>
          <w:smallCaps/>
          <w:sz w:val="22"/>
        </w:rPr>
        <w:t xml:space="preserve">Machado, João Batista, </w:t>
      </w:r>
      <w:r w:rsidRPr="00BF0A7D">
        <w:rPr>
          <w:i/>
          <w:sz w:val="22"/>
        </w:rPr>
        <w:t>Introdução ao Direito e ao Discurso Legitimador</w:t>
      </w:r>
      <w:r w:rsidRPr="00BF0A7D">
        <w:rPr>
          <w:sz w:val="22"/>
        </w:rPr>
        <w:t>, Almedina, Coimbra, 2002.</w:t>
      </w:r>
    </w:p>
    <w:p w:rsidR="00DA41DE" w:rsidRPr="00BF0A7D" w:rsidRDefault="00DA41DE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 xml:space="preserve">– </w:t>
      </w:r>
      <w:r w:rsidRPr="00BF0A7D">
        <w:rPr>
          <w:smallCaps/>
          <w:sz w:val="22"/>
        </w:rPr>
        <w:t>Mafalda Miranda Barbosa e Diogo Duarte Campos</w:t>
      </w:r>
      <w:r w:rsidRPr="00BF0A7D">
        <w:rPr>
          <w:sz w:val="22"/>
        </w:rPr>
        <w:t xml:space="preserve">, </w:t>
      </w:r>
      <w:r w:rsidRPr="00BF0A7D">
        <w:rPr>
          <w:i/>
          <w:sz w:val="22"/>
        </w:rPr>
        <w:t>A Decisão do Tribunal de Portalegre, de 4 de Janeiro de 2012</w:t>
      </w:r>
      <w:r w:rsidRPr="00BF0A7D">
        <w:rPr>
          <w:sz w:val="22"/>
        </w:rPr>
        <w:t xml:space="preserve">, </w:t>
      </w:r>
      <w:r w:rsidRPr="00BF0A7D">
        <w:rPr>
          <w:i/>
          <w:sz w:val="22"/>
        </w:rPr>
        <w:t>in</w:t>
      </w:r>
      <w:r w:rsidRPr="00BF0A7D">
        <w:rPr>
          <w:sz w:val="22"/>
        </w:rPr>
        <w:t xml:space="preserve"> Boletim da Faculdade de Direito da Universidade de Coimbra, 2012, Vol. LXXXVIII, Tomo I.</w:t>
      </w:r>
    </w:p>
    <w:p w:rsidR="00B242B0" w:rsidRPr="00BF0A7D" w:rsidRDefault="004008DF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>–</w:t>
      </w:r>
      <w:r w:rsidR="00DA41DE" w:rsidRPr="00BF0A7D">
        <w:rPr>
          <w:smallCaps/>
          <w:sz w:val="22"/>
        </w:rPr>
        <w:t xml:space="preserve"> Menezes </w:t>
      </w:r>
      <w:r w:rsidR="00B242B0" w:rsidRPr="00BF0A7D">
        <w:rPr>
          <w:smallCaps/>
          <w:sz w:val="22"/>
        </w:rPr>
        <w:t>Cordeiro</w:t>
      </w:r>
      <w:r w:rsidR="00B242B0" w:rsidRPr="00BF0A7D">
        <w:rPr>
          <w:sz w:val="22"/>
        </w:rPr>
        <w:t xml:space="preserve">, </w:t>
      </w:r>
      <w:r w:rsidR="00B242B0" w:rsidRPr="00BF0A7D">
        <w:rPr>
          <w:i/>
          <w:sz w:val="22"/>
        </w:rPr>
        <w:t>Direito Bancário</w:t>
      </w:r>
      <w:r w:rsidR="00B242B0" w:rsidRPr="00BF0A7D">
        <w:rPr>
          <w:sz w:val="22"/>
        </w:rPr>
        <w:t>, 5ª edição, Almedina, Coimbra, 2014</w:t>
      </w:r>
      <w:r w:rsidR="00A1439B" w:rsidRPr="00BF0A7D">
        <w:rPr>
          <w:sz w:val="22"/>
        </w:rPr>
        <w:t>;</w:t>
      </w:r>
    </w:p>
    <w:p w:rsidR="00DA41DE" w:rsidRPr="00BF0A7D" w:rsidRDefault="00B242B0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ab/>
      </w:r>
      <w:r w:rsidRPr="00BF0A7D">
        <w:rPr>
          <w:sz w:val="22"/>
        </w:rPr>
        <w:tab/>
        <w:t xml:space="preserve">– </w:t>
      </w:r>
      <w:r w:rsidRPr="00BF0A7D">
        <w:rPr>
          <w:i/>
          <w:sz w:val="22"/>
        </w:rPr>
        <w:t>Tratado de Direito Civil X – Direito das Obrigações – Garantias</w:t>
      </w:r>
      <w:r w:rsidRPr="00BF0A7D">
        <w:rPr>
          <w:sz w:val="22"/>
        </w:rPr>
        <w:t>, Almedina</w:t>
      </w:r>
      <w:r w:rsidR="00BE218E" w:rsidRPr="00BF0A7D">
        <w:rPr>
          <w:sz w:val="22"/>
        </w:rPr>
        <w:t>,</w:t>
      </w:r>
      <w:r w:rsidRPr="00BF0A7D">
        <w:rPr>
          <w:sz w:val="22"/>
        </w:rPr>
        <w:t xml:space="preserve"> Coimbra, 2015.</w:t>
      </w:r>
      <w:r w:rsidR="00DA41DE" w:rsidRPr="00BF0A7D">
        <w:rPr>
          <w:sz w:val="22"/>
        </w:rPr>
        <w:t xml:space="preserve"> </w:t>
      </w:r>
    </w:p>
    <w:p w:rsidR="00DA41DE" w:rsidRPr="00BF0A7D" w:rsidRDefault="00DA41DE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>–</w:t>
      </w:r>
      <w:r w:rsidRPr="00BF0A7D">
        <w:rPr>
          <w:smallCaps/>
          <w:sz w:val="22"/>
        </w:rPr>
        <w:t xml:space="preserve"> Menezes Leitão</w:t>
      </w:r>
      <w:r w:rsidRPr="00BF0A7D">
        <w:rPr>
          <w:sz w:val="22"/>
        </w:rPr>
        <w:t xml:space="preserve">, </w:t>
      </w:r>
      <w:r w:rsidRPr="00BF0A7D">
        <w:rPr>
          <w:i/>
          <w:sz w:val="22"/>
        </w:rPr>
        <w:t xml:space="preserve">Direito das Obrigações, </w:t>
      </w:r>
      <w:proofErr w:type="spellStart"/>
      <w:r w:rsidRPr="00BF0A7D">
        <w:rPr>
          <w:i/>
          <w:sz w:val="22"/>
        </w:rPr>
        <w:t>Vol</w:t>
      </w:r>
      <w:proofErr w:type="spellEnd"/>
      <w:r w:rsidRPr="00BF0A7D">
        <w:rPr>
          <w:i/>
          <w:sz w:val="22"/>
        </w:rPr>
        <w:t xml:space="preserve"> III – Garantias em especial, </w:t>
      </w:r>
      <w:r w:rsidRPr="00BF0A7D">
        <w:rPr>
          <w:sz w:val="22"/>
        </w:rPr>
        <w:t>7ªed., Almedina,2010</w:t>
      </w:r>
      <w:r w:rsidR="00A1439B" w:rsidRPr="00BF0A7D">
        <w:rPr>
          <w:sz w:val="22"/>
        </w:rPr>
        <w:t>;</w:t>
      </w:r>
    </w:p>
    <w:p w:rsidR="00DA41DE" w:rsidRPr="00BF0A7D" w:rsidRDefault="00DA41DE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ab/>
      </w:r>
      <w:r w:rsidRPr="00BF0A7D">
        <w:rPr>
          <w:sz w:val="22"/>
        </w:rPr>
        <w:tab/>
        <w:t xml:space="preserve">– </w:t>
      </w:r>
      <w:r w:rsidRPr="00BF0A7D">
        <w:rPr>
          <w:i/>
          <w:sz w:val="22"/>
        </w:rPr>
        <w:t xml:space="preserve">O Impacto da Crise Financeira no Regime do Credito à Habitação, </w:t>
      </w:r>
      <w:r w:rsidRPr="00BF0A7D">
        <w:rPr>
          <w:sz w:val="22"/>
        </w:rPr>
        <w:t xml:space="preserve">AAVV, </w:t>
      </w:r>
      <w:r w:rsidRPr="00BF0A7D">
        <w:rPr>
          <w:i/>
          <w:sz w:val="22"/>
        </w:rPr>
        <w:t>I Congresso de Direito Bancário</w:t>
      </w:r>
      <w:r w:rsidRPr="00BF0A7D">
        <w:rPr>
          <w:sz w:val="22"/>
        </w:rPr>
        <w:t xml:space="preserve"> (</w:t>
      </w:r>
      <w:proofErr w:type="spellStart"/>
      <w:r w:rsidRPr="00BF0A7D">
        <w:rPr>
          <w:sz w:val="22"/>
        </w:rPr>
        <w:t>coord</w:t>
      </w:r>
      <w:proofErr w:type="spellEnd"/>
      <w:r w:rsidRPr="00BF0A7D">
        <w:rPr>
          <w:sz w:val="22"/>
        </w:rPr>
        <w:t>.) Luís Pestana Vasco</w:t>
      </w:r>
      <w:r w:rsidR="00A1439B" w:rsidRPr="00BF0A7D">
        <w:rPr>
          <w:sz w:val="22"/>
        </w:rPr>
        <w:t>ncelos, Almedina, Coimbra, 2015.</w:t>
      </w:r>
    </w:p>
    <w:p w:rsidR="00A1439B" w:rsidRPr="00BF0A7D" w:rsidRDefault="00A1439B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 xml:space="preserve">– </w:t>
      </w:r>
      <w:r w:rsidRPr="00BF0A7D">
        <w:rPr>
          <w:smallCaps/>
          <w:sz w:val="22"/>
        </w:rPr>
        <w:t>Nuno Pinto Oliveira</w:t>
      </w:r>
      <w:r w:rsidRPr="00BF0A7D">
        <w:rPr>
          <w:sz w:val="22"/>
        </w:rPr>
        <w:t xml:space="preserve">, </w:t>
      </w:r>
      <w:r w:rsidRPr="00BF0A7D">
        <w:rPr>
          <w:i/>
          <w:sz w:val="22"/>
        </w:rPr>
        <w:t>Princípios de Direitos dos Contratos</w:t>
      </w:r>
      <w:r w:rsidRPr="00BF0A7D">
        <w:rPr>
          <w:sz w:val="22"/>
        </w:rPr>
        <w:t>, Coimbra Editora, Coimbra, 2011.</w:t>
      </w:r>
    </w:p>
    <w:p w:rsidR="002C3611" w:rsidRPr="00BF0A7D" w:rsidRDefault="002C3611" w:rsidP="00D0678C">
      <w:pPr>
        <w:spacing w:line="360" w:lineRule="auto"/>
        <w:jc w:val="both"/>
        <w:rPr>
          <w:smallCaps/>
          <w:sz w:val="22"/>
        </w:rPr>
      </w:pPr>
      <w:r w:rsidRPr="00BF0A7D">
        <w:rPr>
          <w:sz w:val="22"/>
        </w:rPr>
        <w:t xml:space="preserve">– </w:t>
      </w:r>
      <w:r w:rsidRPr="00BF0A7D">
        <w:rPr>
          <w:smallCaps/>
          <w:sz w:val="22"/>
        </w:rPr>
        <w:t xml:space="preserve">Karl </w:t>
      </w:r>
      <w:proofErr w:type="spellStart"/>
      <w:r w:rsidRPr="00BF0A7D">
        <w:rPr>
          <w:smallCaps/>
          <w:sz w:val="22"/>
        </w:rPr>
        <w:t>Larenz</w:t>
      </w:r>
      <w:proofErr w:type="spellEnd"/>
      <w:r w:rsidRPr="00BF0A7D">
        <w:rPr>
          <w:smallCaps/>
          <w:sz w:val="22"/>
        </w:rPr>
        <w:t xml:space="preserve">, </w:t>
      </w:r>
      <w:proofErr w:type="spellStart"/>
      <w:r w:rsidRPr="00BF0A7D">
        <w:rPr>
          <w:i/>
          <w:sz w:val="22"/>
        </w:rPr>
        <w:t>Metedologia</w:t>
      </w:r>
      <w:proofErr w:type="spellEnd"/>
      <w:r w:rsidRPr="00BF0A7D">
        <w:rPr>
          <w:i/>
          <w:sz w:val="22"/>
        </w:rPr>
        <w:t xml:space="preserve"> da </w:t>
      </w:r>
      <w:proofErr w:type="spellStart"/>
      <w:r w:rsidRPr="00BF0A7D">
        <w:rPr>
          <w:i/>
          <w:sz w:val="22"/>
        </w:rPr>
        <w:t>Ciencia</w:t>
      </w:r>
      <w:proofErr w:type="spellEnd"/>
      <w:r w:rsidRPr="00BF0A7D">
        <w:rPr>
          <w:i/>
          <w:sz w:val="22"/>
        </w:rPr>
        <w:t xml:space="preserve"> do Direito</w:t>
      </w:r>
      <w:r w:rsidRPr="00BF0A7D">
        <w:rPr>
          <w:sz w:val="22"/>
        </w:rPr>
        <w:t xml:space="preserve">, 7ª ed., Lisboa, Fundação </w:t>
      </w:r>
      <w:proofErr w:type="spellStart"/>
      <w:r w:rsidRPr="00BF0A7D">
        <w:rPr>
          <w:sz w:val="22"/>
        </w:rPr>
        <w:t>Caloust</w:t>
      </w:r>
      <w:proofErr w:type="spellEnd"/>
      <w:r w:rsidRPr="00BF0A7D">
        <w:rPr>
          <w:sz w:val="22"/>
        </w:rPr>
        <w:t xml:space="preserve"> Gulbenkian, 2014</w:t>
      </w:r>
      <w:r w:rsidR="00A1439B" w:rsidRPr="00BF0A7D">
        <w:rPr>
          <w:sz w:val="22"/>
        </w:rPr>
        <w:t>.</w:t>
      </w:r>
    </w:p>
    <w:p w:rsidR="008B3BB2" w:rsidRPr="00BF0A7D" w:rsidRDefault="004008DF" w:rsidP="00D0678C">
      <w:pPr>
        <w:spacing w:line="360" w:lineRule="auto"/>
        <w:jc w:val="both"/>
        <w:rPr>
          <w:b/>
          <w:sz w:val="22"/>
        </w:rPr>
      </w:pPr>
      <w:r w:rsidRPr="00BF0A7D">
        <w:rPr>
          <w:sz w:val="22"/>
        </w:rPr>
        <w:t xml:space="preserve">– </w:t>
      </w:r>
      <w:r w:rsidR="008B3BB2" w:rsidRPr="00BF0A7D">
        <w:rPr>
          <w:smallCaps/>
          <w:sz w:val="22"/>
        </w:rPr>
        <w:t>Rui Pinto Duarte</w:t>
      </w:r>
      <w:r w:rsidR="008B3BB2" w:rsidRPr="00BF0A7D">
        <w:rPr>
          <w:i/>
          <w:sz w:val="22"/>
        </w:rPr>
        <w:t>, Curso de Direitos Reais</w:t>
      </w:r>
      <w:r w:rsidR="008B3BB2" w:rsidRPr="00BF0A7D">
        <w:rPr>
          <w:sz w:val="22"/>
        </w:rPr>
        <w:t>, 2ªed., Principia, 2007</w:t>
      </w:r>
      <w:r w:rsidR="00BE218E" w:rsidRPr="00BF0A7D">
        <w:rPr>
          <w:sz w:val="22"/>
        </w:rPr>
        <w:t>.</w:t>
      </w:r>
    </w:p>
    <w:p w:rsidR="007D4F4A" w:rsidRPr="00BF0A7D" w:rsidRDefault="004008DF" w:rsidP="00D0678C">
      <w:pPr>
        <w:spacing w:line="360" w:lineRule="auto"/>
        <w:jc w:val="both"/>
        <w:rPr>
          <w:sz w:val="22"/>
        </w:rPr>
      </w:pPr>
      <w:r w:rsidRPr="00BF0A7D">
        <w:rPr>
          <w:sz w:val="22"/>
        </w:rPr>
        <w:t xml:space="preserve">– </w:t>
      </w:r>
      <w:r w:rsidR="00BE218E" w:rsidRPr="00BF0A7D">
        <w:rPr>
          <w:smallCaps/>
          <w:sz w:val="22"/>
        </w:rPr>
        <w:t>Vítor</w:t>
      </w:r>
      <w:r w:rsidR="001E4490" w:rsidRPr="00BF0A7D">
        <w:rPr>
          <w:smallCaps/>
          <w:sz w:val="22"/>
        </w:rPr>
        <w:t xml:space="preserve"> Bento</w:t>
      </w:r>
      <w:r w:rsidR="007D4F4A" w:rsidRPr="00BF0A7D">
        <w:rPr>
          <w:sz w:val="22"/>
        </w:rPr>
        <w:t xml:space="preserve">, </w:t>
      </w:r>
      <w:r w:rsidR="007D4F4A" w:rsidRPr="00BF0A7D">
        <w:rPr>
          <w:i/>
          <w:sz w:val="22"/>
        </w:rPr>
        <w:t>Economia, Moral e Politica</w:t>
      </w:r>
      <w:r w:rsidR="007D4F4A" w:rsidRPr="00BF0A7D">
        <w:rPr>
          <w:sz w:val="22"/>
        </w:rPr>
        <w:t xml:space="preserve">, Fundação Francisco Manuela dos Santos, </w:t>
      </w:r>
      <w:r w:rsidR="00115436" w:rsidRPr="00BF0A7D">
        <w:rPr>
          <w:sz w:val="22"/>
        </w:rPr>
        <w:t>Relógios</w:t>
      </w:r>
      <w:r w:rsidR="007D4F4A" w:rsidRPr="00BF0A7D">
        <w:rPr>
          <w:sz w:val="22"/>
        </w:rPr>
        <w:t xml:space="preserve"> D´Água Editores, 2011</w:t>
      </w:r>
      <w:r w:rsidR="00563784" w:rsidRPr="00BF0A7D">
        <w:rPr>
          <w:sz w:val="22"/>
        </w:rPr>
        <w:t>.</w:t>
      </w:r>
    </w:p>
    <w:p w:rsidR="00B242B0" w:rsidRPr="00BF0A7D" w:rsidRDefault="00B242B0">
      <w:pPr>
        <w:spacing w:line="240" w:lineRule="auto"/>
        <w:jc w:val="both"/>
        <w:rPr>
          <w:sz w:val="22"/>
          <w:szCs w:val="19"/>
        </w:rPr>
      </w:pPr>
    </w:p>
    <w:sectPr w:rsidR="00B242B0" w:rsidRPr="00BF0A7D" w:rsidSect="009E0998"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56" w:rsidRDefault="00B13056" w:rsidP="00E82E18">
      <w:pPr>
        <w:spacing w:after="0" w:line="240" w:lineRule="auto"/>
      </w:pPr>
      <w:r>
        <w:separator/>
      </w:r>
    </w:p>
  </w:endnote>
  <w:endnote w:type="continuationSeparator" w:id="0">
    <w:p w:rsidR="00B13056" w:rsidRDefault="00B13056" w:rsidP="00E8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303463"/>
      <w:docPartObj>
        <w:docPartGallery w:val="Page Numbers (Bottom of Page)"/>
        <w:docPartUnique/>
      </w:docPartObj>
    </w:sdtPr>
    <w:sdtEndPr/>
    <w:sdtContent>
      <w:p w:rsidR="007F578E" w:rsidRDefault="007F57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04B">
          <w:rPr>
            <w:noProof/>
          </w:rPr>
          <w:t>21</w:t>
        </w:r>
        <w:r>
          <w:fldChar w:fldCharType="end"/>
        </w:r>
      </w:p>
    </w:sdtContent>
  </w:sdt>
  <w:p w:rsidR="007F578E" w:rsidRDefault="007F57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56" w:rsidRDefault="00B13056" w:rsidP="00E82E18">
      <w:pPr>
        <w:spacing w:after="0" w:line="240" w:lineRule="auto"/>
      </w:pPr>
      <w:r>
        <w:separator/>
      </w:r>
    </w:p>
  </w:footnote>
  <w:footnote w:type="continuationSeparator" w:id="0">
    <w:p w:rsidR="00B13056" w:rsidRDefault="00B13056" w:rsidP="00E82E18">
      <w:pPr>
        <w:spacing w:after="0" w:line="240" w:lineRule="auto"/>
      </w:pPr>
      <w:r>
        <w:continuationSeparator/>
      </w:r>
    </w:p>
  </w:footnote>
  <w:footnote w:id="1">
    <w:p w:rsidR="00886D02" w:rsidRDefault="00886D02">
      <w:pPr>
        <w:pStyle w:val="FootnoteText"/>
      </w:pPr>
      <w:bookmarkStart w:id="0" w:name="_GoBack"/>
      <w:bookmarkEnd w:id="0"/>
    </w:p>
  </w:footnote>
  <w:footnote w:id="2">
    <w:p w:rsidR="007F578E" w:rsidRPr="008C1CED" w:rsidRDefault="007F578E" w:rsidP="008C1CED">
      <w:pPr>
        <w:pStyle w:val="NoSpacing"/>
        <w:rPr>
          <w:sz w:val="20"/>
          <w:szCs w:val="20"/>
        </w:rPr>
      </w:pPr>
      <w:r w:rsidRPr="008C1CED">
        <w:rPr>
          <w:rStyle w:val="FootnoteReference"/>
          <w:sz w:val="20"/>
          <w:szCs w:val="20"/>
        </w:rPr>
        <w:footnoteRef/>
      </w:r>
      <w:r w:rsidRPr="008C1CED">
        <w:rPr>
          <w:sz w:val="20"/>
          <w:szCs w:val="20"/>
        </w:rPr>
        <w:t xml:space="preserve"> </w:t>
      </w:r>
      <w:r w:rsidRPr="008C1CED">
        <w:rPr>
          <w:smallCaps/>
          <w:sz w:val="20"/>
          <w:szCs w:val="20"/>
        </w:rPr>
        <w:t>Vítor Bento</w:t>
      </w:r>
      <w:r w:rsidRPr="008C1CED">
        <w:rPr>
          <w:sz w:val="20"/>
          <w:szCs w:val="20"/>
        </w:rPr>
        <w:t xml:space="preserve">, </w:t>
      </w:r>
      <w:r w:rsidRPr="008C1CED">
        <w:rPr>
          <w:i/>
          <w:sz w:val="20"/>
          <w:szCs w:val="20"/>
        </w:rPr>
        <w:t>Economia, Moral e Politica</w:t>
      </w:r>
      <w:r w:rsidRPr="008C1CED">
        <w:rPr>
          <w:sz w:val="20"/>
          <w:szCs w:val="20"/>
        </w:rPr>
        <w:t xml:space="preserve">, Fundação Francisco Manuela dos Santos, Relógios D´Água Editores, 2011, p. 89. O ilustre autor dá-nos um excelente e desapaixonado retracto da, palavras do mesmo, “loucura </w:t>
      </w:r>
      <w:proofErr w:type="spellStart"/>
      <w:r w:rsidRPr="008C1CED">
        <w:rPr>
          <w:sz w:val="20"/>
          <w:szCs w:val="20"/>
        </w:rPr>
        <w:t>colectiva</w:t>
      </w:r>
      <w:proofErr w:type="spellEnd"/>
      <w:r w:rsidRPr="008C1CED">
        <w:rPr>
          <w:sz w:val="20"/>
          <w:szCs w:val="20"/>
        </w:rPr>
        <w:t xml:space="preserve">” que originou a presente crise financeira internacional, iniciada do outro lado do Atlântico (EUA) e com violenta propagação para todo o mundo, em especial o velho continente, a Europa, </w:t>
      </w:r>
      <w:r w:rsidRPr="008C1CED">
        <w:rPr>
          <w:i/>
          <w:sz w:val="20"/>
          <w:szCs w:val="20"/>
        </w:rPr>
        <w:t>ob. cit</w:t>
      </w:r>
      <w:r w:rsidRPr="008C1CED">
        <w:rPr>
          <w:sz w:val="20"/>
          <w:szCs w:val="20"/>
        </w:rPr>
        <w:t xml:space="preserve">., pp. 89 </w:t>
      </w:r>
      <w:proofErr w:type="spellStart"/>
      <w:r w:rsidRPr="008C1CED">
        <w:rPr>
          <w:sz w:val="20"/>
          <w:szCs w:val="20"/>
        </w:rPr>
        <w:t>ss</w:t>
      </w:r>
      <w:proofErr w:type="spellEnd"/>
      <w:r w:rsidRPr="008C1CED">
        <w:rPr>
          <w:sz w:val="20"/>
          <w:szCs w:val="20"/>
        </w:rPr>
        <w:t xml:space="preserve">. </w:t>
      </w:r>
    </w:p>
  </w:footnote>
  <w:footnote w:id="3">
    <w:p w:rsidR="007F578E" w:rsidRPr="008C1CED" w:rsidRDefault="007F578E" w:rsidP="008C1CED">
      <w:pPr>
        <w:pStyle w:val="NoSpacing"/>
        <w:rPr>
          <w:sz w:val="20"/>
          <w:szCs w:val="20"/>
        </w:rPr>
      </w:pPr>
      <w:r w:rsidRPr="008C1CED">
        <w:rPr>
          <w:rStyle w:val="FootnoteReference"/>
          <w:sz w:val="20"/>
          <w:szCs w:val="20"/>
        </w:rPr>
        <w:footnoteRef/>
      </w:r>
      <w:r w:rsidRPr="008C1CED">
        <w:rPr>
          <w:sz w:val="20"/>
          <w:szCs w:val="20"/>
        </w:rPr>
        <w:t xml:space="preserve"> Vamos seguir bem de perto a visita-guiada à crise dada por um </w:t>
      </w:r>
      <w:r w:rsidRPr="008C1CED">
        <w:rPr>
          <w:i/>
          <w:sz w:val="20"/>
          <w:szCs w:val="20"/>
        </w:rPr>
        <w:t>guru</w:t>
      </w:r>
      <w:r w:rsidRPr="008C1CED">
        <w:rPr>
          <w:sz w:val="20"/>
          <w:szCs w:val="20"/>
        </w:rPr>
        <w:t xml:space="preserve"> dos mercados financeiros: </w:t>
      </w:r>
      <w:r w:rsidRPr="008C1CED">
        <w:rPr>
          <w:smallCaps/>
          <w:sz w:val="20"/>
          <w:szCs w:val="20"/>
        </w:rPr>
        <w:t>George Soros</w:t>
      </w:r>
      <w:r w:rsidRPr="008C1CED">
        <w:rPr>
          <w:i/>
          <w:sz w:val="20"/>
          <w:szCs w:val="20"/>
        </w:rPr>
        <w:t>, O Novo Paradigma dos Mercados Financeiros</w:t>
      </w:r>
      <w:r w:rsidRPr="008C1CED">
        <w:rPr>
          <w:sz w:val="20"/>
          <w:szCs w:val="20"/>
        </w:rPr>
        <w:t xml:space="preserve"> – </w:t>
      </w:r>
      <w:r w:rsidRPr="008C1CED">
        <w:rPr>
          <w:i/>
          <w:sz w:val="20"/>
          <w:szCs w:val="20"/>
        </w:rPr>
        <w:t>A Crise Financeiras de 2008 e o Seu Significado</w:t>
      </w:r>
      <w:r w:rsidRPr="008C1CED">
        <w:rPr>
          <w:sz w:val="20"/>
          <w:szCs w:val="20"/>
        </w:rPr>
        <w:t xml:space="preserve">, 2ªedição, Almedina, Coimbra, 2009, pp. 15 </w:t>
      </w:r>
      <w:proofErr w:type="spellStart"/>
      <w:r w:rsidRPr="008C1CED">
        <w:rPr>
          <w:sz w:val="20"/>
          <w:szCs w:val="20"/>
        </w:rPr>
        <w:t>ss</w:t>
      </w:r>
      <w:proofErr w:type="spellEnd"/>
      <w:r w:rsidRPr="008C1CED">
        <w:rPr>
          <w:sz w:val="20"/>
          <w:szCs w:val="20"/>
        </w:rPr>
        <w:t>.</w:t>
      </w:r>
    </w:p>
  </w:footnote>
  <w:footnote w:id="4">
    <w:p w:rsidR="007F578E" w:rsidRPr="008C1CED" w:rsidRDefault="007F578E" w:rsidP="008C1CED">
      <w:pPr>
        <w:pStyle w:val="NoSpacing"/>
        <w:rPr>
          <w:sz w:val="20"/>
          <w:szCs w:val="20"/>
          <w:lang w:val="en-US"/>
        </w:rPr>
      </w:pPr>
      <w:r w:rsidRPr="008C1CED">
        <w:rPr>
          <w:rStyle w:val="FootnoteReference"/>
          <w:sz w:val="20"/>
          <w:szCs w:val="20"/>
        </w:rPr>
        <w:footnoteRef/>
      </w:r>
      <w:r w:rsidRPr="008C1CED">
        <w:rPr>
          <w:sz w:val="20"/>
          <w:szCs w:val="20"/>
          <w:lang w:val="en-US"/>
        </w:rPr>
        <w:t xml:space="preserve"> BBC News, “Timeline Sub-prime losses: How Did the Sub-Prime Crisis Unfold?</w:t>
      </w:r>
      <w:proofErr w:type="gramStart"/>
      <w:r w:rsidRPr="008C1CED">
        <w:rPr>
          <w:sz w:val="20"/>
          <w:szCs w:val="20"/>
          <w:lang w:val="en-US"/>
        </w:rPr>
        <w:t>”,</w:t>
      </w:r>
      <w:proofErr w:type="gramEnd"/>
      <w:r w:rsidRPr="008C1CED">
        <w:rPr>
          <w:sz w:val="20"/>
          <w:szCs w:val="20"/>
          <w:lang w:val="en-US"/>
        </w:rPr>
        <w:t xml:space="preserve"> disp. em http//news.bbc.co.uk/1/7096845.st [</w:t>
      </w:r>
      <w:proofErr w:type="spellStart"/>
      <w:r w:rsidRPr="008C1CED">
        <w:rPr>
          <w:sz w:val="20"/>
          <w:szCs w:val="20"/>
          <w:lang w:val="en-US"/>
        </w:rPr>
        <w:t>consultado</w:t>
      </w:r>
      <w:proofErr w:type="spellEnd"/>
      <w:r w:rsidRPr="008C1CED">
        <w:rPr>
          <w:sz w:val="20"/>
          <w:szCs w:val="20"/>
          <w:lang w:val="en-US"/>
        </w:rPr>
        <w:t xml:space="preserve"> em 23.05.2015].</w:t>
      </w:r>
    </w:p>
  </w:footnote>
  <w:footnote w:id="5">
    <w:p w:rsidR="007F578E" w:rsidRPr="008C1CED" w:rsidRDefault="007F578E" w:rsidP="008C1CED">
      <w:pPr>
        <w:pStyle w:val="NoSpacing"/>
        <w:rPr>
          <w:sz w:val="20"/>
          <w:szCs w:val="20"/>
        </w:rPr>
      </w:pPr>
      <w:r w:rsidRPr="008C1CED">
        <w:rPr>
          <w:rStyle w:val="FootnoteReference"/>
          <w:sz w:val="20"/>
          <w:szCs w:val="20"/>
        </w:rPr>
        <w:footnoteRef/>
      </w:r>
      <w:r w:rsidRPr="008C1CED">
        <w:rPr>
          <w:sz w:val="20"/>
          <w:szCs w:val="20"/>
        </w:rPr>
        <w:t xml:space="preserve">  O pacote de salvação de </w:t>
      </w:r>
      <w:proofErr w:type="spellStart"/>
      <w:r w:rsidRPr="008C1CED">
        <w:rPr>
          <w:i/>
          <w:sz w:val="20"/>
          <w:szCs w:val="20"/>
        </w:rPr>
        <w:t>Paulson</w:t>
      </w:r>
      <w:proofErr w:type="spellEnd"/>
      <w:r w:rsidRPr="008C1CED">
        <w:rPr>
          <w:sz w:val="20"/>
          <w:szCs w:val="20"/>
        </w:rPr>
        <w:t xml:space="preserve"> (à data, Secretário de Estado as Finanças americano) foi de 700 mil milhões de </w:t>
      </w:r>
      <w:proofErr w:type="gramStart"/>
      <w:r w:rsidRPr="008C1CED">
        <w:rPr>
          <w:sz w:val="20"/>
          <w:szCs w:val="20"/>
        </w:rPr>
        <w:t>dólares!!!,</w:t>
      </w:r>
      <w:proofErr w:type="gramEnd"/>
      <w:r w:rsidRPr="008C1CED">
        <w:rPr>
          <w:sz w:val="20"/>
          <w:szCs w:val="20"/>
        </w:rPr>
        <w:t xml:space="preserve"> </w:t>
      </w:r>
      <w:proofErr w:type="spellStart"/>
      <w:r w:rsidRPr="008C1CED">
        <w:rPr>
          <w:i/>
          <w:sz w:val="20"/>
          <w:szCs w:val="20"/>
        </w:rPr>
        <w:t>últ</w:t>
      </w:r>
      <w:proofErr w:type="spellEnd"/>
      <w:r w:rsidRPr="008C1CED">
        <w:rPr>
          <w:i/>
          <w:sz w:val="20"/>
          <w:szCs w:val="20"/>
        </w:rPr>
        <w:t xml:space="preserve">. </w:t>
      </w:r>
      <w:proofErr w:type="gramStart"/>
      <w:r w:rsidRPr="008C1CED">
        <w:rPr>
          <w:i/>
          <w:sz w:val="20"/>
          <w:szCs w:val="20"/>
        </w:rPr>
        <w:t>ob</w:t>
      </w:r>
      <w:proofErr w:type="gramEnd"/>
      <w:r w:rsidRPr="008C1CED">
        <w:rPr>
          <w:i/>
          <w:sz w:val="20"/>
          <w:szCs w:val="20"/>
        </w:rPr>
        <w:t>. cit</w:t>
      </w:r>
      <w:r w:rsidRPr="008C1CED">
        <w:rPr>
          <w:sz w:val="20"/>
          <w:szCs w:val="20"/>
        </w:rPr>
        <w:t>. p. 243.</w:t>
      </w:r>
    </w:p>
  </w:footnote>
  <w:footnote w:id="6">
    <w:p w:rsidR="007F578E" w:rsidRPr="008C1CED" w:rsidRDefault="007F578E" w:rsidP="008C1CED">
      <w:pPr>
        <w:pStyle w:val="NoSpacing"/>
        <w:rPr>
          <w:sz w:val="20"/>
          <w:szCs w:val="20"/>
        </w:rPr>
      </w:pPr>
      <w:r w:rsidRPr="008C1CED">
        <w:rPr>
          <w:rStyle w:val="FootnoteReference"/>
          <w:sz w:val="20"/>
          <w:szCs w:val="20"/>
        </w:rPr>
        <w:footnoteRef/>
      </w:r>
      <w:r w:rsidRPr="008C1CED">
        <w:rPr>
          <w:sz w:val="20"/>
          <w:szCs w:val="20"/>
        </w:rPr>
        <w:t xml:space="preserve"> Para os americanos conhecido como o ataque “</w:t>
      </w:r>
      <w:r w:rsidRPr="008C1CED">
        <w:rPr>
          <w:i/>
          <w:sz w:val="20"/>
          <w:szCs w:val="20"/>
        </w:rPr>
        <w:t>nine-</w:t>
      </w:r>
      <w:proofErr w:type="spellStart"/>
      <w:r w:rsidRPr="008C1CED">
        <w:rPr>
          <w:i/>
          <w:sz w:val="20"/>
          <w:szCs w:val="20"/>
        </w:rPr>
        <w:t>eleven</w:t>
      </w:r>
      <w:proofErr w:type="spellEnd"/>
      <w:r w:rsidRPr="008C1CED">
        <w:rPr>
          <w:sz w:val="20"/>
          <w:szCs w:val="20"/>
        </w:rPr>
        <w:t>”, com a terrível associação – e não coincidência – ao número 911 – número de serviço telefónico de emergência norte-americano. O acontecimento foi de tal forma marcante que muitos pensadores contemporâneos (</w:t>
      </w:r>
      <w:r w:rsidRPr="008C1CED">
        <w:rPr>
          <w:i/>
          <w:sz w:val="20"/>
          <w:szCs w:val="20"/>
        </w:rPr>
        <w:t>vide</w:t>
      </w:r>
      <w:r w:rsidRPr="008C1CED">
        <w:rPr>
          <w:sz w:val="20"/>
          <w:szCs w:val="20"/>
        </w:rPr>
        <w:t xml:space="preserve"> neste sentido </w:t>
      </w:r>
      <w:proofErr w:type="spellStart"/>
      <w:r w:rsidRPr="008C1CED">
        <w:rPr>
          <w:smallCaps/>
          <w:sz w:val="20"/>
          <w:szCs w:val="20"/>
        </w:rPr>
        <w:t>Noam</w:t>
      </w:r>
      <w:proofErr w:type="spellEnd"/>
      <w:r w:rsidRPr="008C1CED">
        <w:rPr>
          <w:smallCaps/>
          <w:sz w:val="20"/>
          <w:szCs w:val="20"/>
        </w:rPr>
        <w:t xml:space="preserve"> Chomsky</w:t>
      </w:r>
      <w:r w:rsidRPr="008C1CED">
        <w:rPr>
          <w:sz w:val="20"/>
          <w:szCs w:val="20"/>
        </w:rPr>
        <w:t xml:space="preserve">, </w:t>
      </w:r>
      <w:r w:rsidRPr="008C1CED">
        <w:rPr>
          <w:i/>
          <w:sz w:val="20"/>
          <w:szCs w:val="20"/>
        </w:rPr>
        <w:t>Propaganda e Opinião Pública</w:t>
      </w:r>
      <w:r w:rsidRPr="008C1CED">
        <w:rPr>
          <w:sz w:val="20"/>
          <w:szCs w:val="20"/>
        </w:rPr>
        <w:t xml:space="preserve">, 2º ed., Campo da Comunicação, 2003, </w:t>
      </w:r>
      <w:r w:rsidRPr="008C1CED">
        <w:rPr>
          <w:i/>
          <w:sz w:val="20"/>
          <w:szCs w:val="20"/>
        </w:rPr>
        <w:t>passim</w:t>
      </w:r>
      <w:r w:rsidRPr="008C1CED">
        <w:rPr>
          <w:sz w:val="20"/>
          <w:szCs w:val="20"/>
        </w:rPr>
        <w:t>) defendem o esgotamento e o fim da Idade Contemporânea com o ataque de 11 de Setembro. Somos de facto levados a pensar que, a partir dessa data, o curso da história mudou; talvez o mundo se quadre noutra fase historiográfica – pós-modernidade/pós-contemporaneidade, talvez!?</w:t>
      </w:r>
    </w:p>
  </w:footnote>
  <w:footnote w:id="7">
    <w:p w:rsidR="007F578E" w:rsidRPr="008C1CED" w:rsidRDefault="007F578E" w:rsidP="008C1CED">
      <w:pPr>
        <w:pStyle w:val="NoSpacing"/>
        <w:rPr>
          <w:sz w:val="20"/>
          <w:szCs w:val="20"/>
        </w:rPr>
      </w:pPr>
      <w:r w:rsidRPr="008C1CED">
        <w:rPr>
          <w:rStyle w:val="FootnoteReference"/>
          <w:sz w:val="20"/>
          <w:szCs w:val="20"/>
        </w:rPr>
        <w:footnoteRef/>
      </w:r>
      <w:r w:rsidRPr="008C1CED">
        <w:rPr>
          <w:sz w:val="20"/>
          <w:szCs w:val="20"/>
        </w:rPr>
        <w:t xml:space="preserve"> Nos dias que passam, designadamente na zona Euro, o fenómeno das taxas de juro negativas não é tão esdrúxulo quanto parecia àquela data.   </w:t>
      </w:r>
    </w:p>
  </w:footnote>
  <w:footnote w:id="8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>Menezes Cordeiro</w:t>
      </w:r>
      <w:r w:rsidRPr="0043508B">
        <w:rPr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>Direito Bancário</w:t>
      </w:r>
      <w:r w:rsidRPr="0043508B">
        <w:rPr>
          <w:sz w:val="20"/>
          <w:szCs w:val="20"/>
        </w:rPr>
        <w:t>, 5ª edição, Almedina, Coimbra, 2014, p. 133.</w:t>
      </w:r>
    </w:p>
  </w:footnote>
  <w:footnote w:id="9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Gigante norte-americano da área da energia que faliu em 2001 por fraude fiscal e contabilística.</w:t>
      </w:r>
    </w:p>
  </w:footnote>
  <w:footnote w:id="10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Gigante das telecomunicações norte-americana que faliu em 2002 por fraude fiscal e contabilística.</w:t>
      </w:r>
    </w:p>
  </w:footnote>
  <w:footnote w:id="11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Posteriormente, como consequência da míngua dos recursos financeiros disponíveis das famílias, a crise atingiu também as hipotecas (</w:t>
      </w:r>
      <w:proofErr w:type="spellStart"/>
      <w:r w:rsidRPr="0043508B">
        <w:rPr>
          <w:i/>
          <w:sz w:val="20"/>
          <w:szCs w:val="20"/>
        </w:rPr>
        <w:t>mortage</w:t>
      </w:r>
      <w:proofErr w:type="spellEnd"/>
      <w:r w:rsidRPr="0043508B">
        <w:rPr>
          <w:sz w:val="20"/>
          <w:szCs w:val="20"/>
        </w:rPr>
        <w:t xml:space="preserve">) </w:t>
      </w:r>
      <w:r w:rsidRPr="0043508B">
        <w:rPr>
          <w:i/>
          <w:sz w:val="20"/>
          <w:szCs w:val="20"/>
        </w:rPr>
        <w:t xml:space="preserve">prime, </w:t>
      </w:r>
      <w:r w:rsidRPr="0043508B">
        <w:rPr>
          <w:sz w:val="20"/>
          <w:szCs w:val="20"/>
        </w:rPr>
        <w:t xml:space="preserve">conforme resultou da Comissão de Inquérito às Causas da Crise Económica e Financeira nos EUA, </w:t>
      </w:r>
      <w:proofErr w:type="spellStart"/>
      <w:r w:rsidRPr="0043508B">
        <w:rPr>
          <w:i/>
          <w:sz w:val="20"/>
          <w:szCs w:val="20"/>
        </w:rPr>
        <w:t>apud</w:t>
      </w:r>
      <w:proofErr w:type="spellEnd"/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>Câmara, Carla Inês Brás</w:t>
      </w:r>
      <w:r w:rsidRPr="0043508B">
        <w:rPr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>A Aquisição da Propriedade do Bem Hipotecado Pelo Credor e a Questão da Satisfação (Integral ou Parcial) do Crédito</w:t>
      </w:r>
      <w:r w:rsidRPr="0043508B">
        <w:rPr>
          <w:sz w:val="20"/>
          <w:szCs w:val="20"/>
        </w:rPr>
        <w:t xml:space="preserve">, AAVV </w:t>
      </w:r>
      <w:r w:rsidRPr="0043508B">
        <w:rPr>
          <w:i/>
          <w:sz w:val="20"/>
          <w:szCs w:val="20"/>
        </w:rPr>
        <w:t>in</w:t>
      </w:r>
      <w:r w:rsidRPr="0043508B">
        <w:rPr>
          <w:sz w:val="20"/>
          <w:szCs w:val="20"/>
        </w:rPr>
        <w:t xml:space="preserve"> </w:t>
      </w:r>
      <w:r w:rsidRPr="0043508B">
        <w:rPr>
          <w:i/>
          <w:sz w:val="20"/>
          <w:szCs w:val="20"/>
        </w:rPr>
        <w:t xml:space="preserve">Estudos em Homenagem ao Professor Dr. </w:t>
      </w:r>
      <w:r w:rsidRPr="0043508B">
        <w:rPr>
          <w:i/>
          <w:smallCaps/>
          <w:sz w:val="20"/>
          <w:szCs w:val="20"/>
        </w:rPr>
        <w:t>Lebre de Freitas</w:t>
      </w:r>
      <w:r w:rsidRPr="0043508B">
        <w:rPr>
          <w:sz w:val="20"/>
          <w:szCs w:val="20"/>
        </w:rPr>
        <w:t>, Vol. I, Coimbra Editora, Coimbra, 2013, p. 647.</w:t>
      </w:r>
    </w:p>
  </w:footnote>
  <w:footnote w:id="12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>Menezes Cordeiro</w:t>
      </w:r>
      <w:r w:rsidRPr="0043508B">
        <w:rPr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 xml:space="preserve">Direito Bancário…, </w:t>
      </w:r>
      <w:r w:rsidRPr="0043508B">
        <w:rPr>
          <w:sz w:val="20"/>
          <w:szCs w:val="20"/>
        </w:rPr>
        <w:t xml:space="preserve">p. 135. O sector bancário foi severamente atingindo! Sólidos bancos caíram em dominó – </w:t>
      </w:r>
      <w:proofErr w:type="spellStart"/>
      <w:r w:rsidRPr="0043508B">
        <w:rPr>
          <w:i/>
          <w:sz w:val="20"/>
          <w:szCs w:val="20"/>
        </w:rPr>
        <w:t>Merryll</w:t>
      </w:r>
      <w:proofErr w:type="spellEnd"/>
      <w:r w:rsidRPr="0043508B">
        <w:rPr>
          <w:i/>
          <w:sz w:val="20"/>
          <w:szCs w:val="20"/>
        </w:rPr>
        <w:t xml:space="preserve"> </w:t>
      </w:r>
      <w:proofErr w:type="spellStart"/>
      <w:r w:rsidRPr="0043508B">
        <w:rPr>
          <w:i/>
          <w:sz w:val="20"/>
          <w:szCs w:val="20"/>
        </w:rPr>
        <w:t>Lynch</w:t>
      </w:r>
      <w:proofErr w:type="spellEnd"/>
      <w:r w:rsidRPr="0043508B">
        <w:rPr>
          <w:i/>
          <w:sz w:val="20"/>
          <w:szCs w:val="20"/>
        </w:rPr>
        <w:t xml:space="preserve">, Bera </w:t>
      </w:r>
      <w:proofErr w:type="spellStart"/>
      <w:r w:rsidRPr="0043508B">
        <w:rPr>
          <w:i/>
          <w:sz w:val="20"/>
          <w:szCs w:val="20"/>
        </w:rPr>
        <w:t>Stearns</w:t>
      </w:r>
      <w:proofErr w:type="spellEnd"/>
      <w:r w:rsidRPr="0043508B">
        <w:rPr>
          <w:i/>
          <w:sz w:val="20"/>
          <w:szCs w:val="20"/>
        </w:rPr>
        <w:t xml:space="preserve">, </w:t>
      </w:r>
      <w:proofErr w:type="spellStart"/>
      <w:r w:rsidRPr="0043508B">
        <w:rPr>
          <w:i/>
          <w:sz w:val="20"/>
          <w:szCs w:val="20"/>
        </w:rPr>
        <w:t>Wachovia</w:t>
      </w:r>
      <w:proofErr w:type="spellEnd"/>
      <w:r w:rsidRPr="0043508B">
        <w:rPr>
          <w:i/>
          <w:sz w:val="20"/>
          <w:szCs w:val="20"/>
        </w:rPr>
        <w:t xml:space="preserve">, Washington </w:t>
      </w:r>
      <w:proofErr w:type="spellStart"/>
      <w:r w:rsidRPr="0043508B">
        <w:rPr>
          <w:i/>
          <w:sz w:val="20"/>
          <w:szCs w:val="20"/>
        </w:rPr>
        <w:t>Mutual;</w:t>
      </w:r>
      <w:r w:rsidRPr="0043508B">
        <w:rPr>
          <w:sz w:val="20"/>
          <w:szCs w:val="20"/>
        </w:rPr>
        <w:t>e</w:t>
      </w:r>
      <w:proofErr w:type="spellEnd"/>
      <w:r w:rsidRPr="0043508B">
        <w:rPr>
          <w:sz w:val="20"/>
          <w:szCs w:val="20"/>
        </w:rPr>
        <w:t xml:space="preserve"> nacionalizações salvíficas – </w:t>
      </w:r>
      <w:r w:rsidRPr="0043508B">
        <w:rPr>
          <w:i/>
          <w:sz w:val="20"/>
          <w:szCs w:val="20"/>
        </w:rPr>
        <w:t xml:space="preserve">AIG, </w:t>
      </w:r>
      <w:proofErr w:type="spellStart"/>
      <w:r w:rsidRPr="0043508B">
        <w:rPr>
          <w:i/>
          <w:sz w:val="20"/>
          <w:szCs w:val="20"/>
        </w:rPr>
        <w:t>Fannie</w:t>
      </w:r>
      <w:proofErr w:type="spellEnd"/>
      <w:r w:rsidRPr="0043508B">
        <w:rPr>
          <w:i/>
          <w:sz w:val="20"/>
          <w:szCs w:val="20"/>
        </w:rPr>
        <w:t xml:space="preserve"> </w:t>
      </w:r>
      <w:proofErr w:type="spellStart"/>
      <w:r w:rsidRPr="0043508B">
        <w:rPr>
          <w:i/>
          <w:sz w:val="20"/>
          <w:szCs w:val="20"/>
        </w:rPr>
        <w:t>Mae</w:t>
      </w:r>
      <w:proofErr w:type="spellEnd"/>
      <w:r w:rsidRPr="0043508B">
        <w:rPr>
          <w:i/>
          <w:sz w:val="20"/>
          <w:szCs w:val="20"/>
        </w:rPr>
        <w:t xml:space="preserve">, </w:t>
      </w:r>
      <w:proofErr w:type="spellStart"/>
      <w:r w:rsidRPr="0043508B">
        <w:rPr>
          <w:i/>
          <w:sz w:val="20"/>
          <w:szCs w:val="20"/>
        </w:rPr>
        <w:t>Freddie</w:t>
      </w:r>
      <w:proofErr w:type="spellEnd"/>
      <w:r w:rsidRPr="0043508B">
        <w:rPr>
          <w:i/>
          <w:sz w:val="20"/>
          <w:szCs w:val="20"/>
        </w:rPr>
        <w:t xml:space="preserve"> </w:t>
      </w:r>
      <w:proofErr w:type="gramStart"/>
      <w:r w:rsidRPr="0043508B">
        <w:rPr>
          <w:i/>
          <w:sz w:val="20"/>
          <w:szCs w:val="20"/>
        </w:rPr>
        <w:t>Mac</w:t>
      </w:r>
      <w:r w:rsidRPr="0043508B">
        <w:rPr>
          <w:sz w:val="20"/>
          <w:szCs w:val="20"/>
        </w:rPr>
        <w:t>(EUA</w:t>
      </w:r>
      <w:proofErr w:type="gramEnd"/>
      <w:r w:rsidRPr="0043508B">
        <w:rPr>
          <w:sz w:val="20"/>
          <w:szCs w:val="20"/>
        </w:rPr>
        <w:t>)</w:t>
      </w:r>
      <w:r w:rsidRPr="0043508B">
        <w:rPr>
          <w:i/>
          <w:sz w:val="20"/>
          <w:szCs w:val="20"/>
        </w:rPr>
        <w:t xml:space="preserve">; </w:t>
      </w:r>
      <w:r w:rsidRPr="0043508B">
        <w:rPr>
          <w:sz w:val="20"/>
          <w:szCs w:val="20"/>
        </w:rPr>
        <w:t>e, na Europa,</w:t>
      </w:r>
      <w:r w:rsidRPr="0043508B">
        <w:rPr>
          <w:i/>
          <w:sz w:val="20"/>
          <w:szCs w:val="20"/>
        </w:rPr>
        <w:t xml:space="preserve"> </w:t>
      </w:r>
      <w:proofErr w:type="spellStart"/>
      <w:r w:rsidRPr="0043508B">
        <w:rPr>
          <w:i/>
          <w:sz w:val="20"/>
          <w:szCs w:val="20"/>
        </w:rPr>
        <w:t>Dexia</w:t>
      </w:r>
      <w:proofErr w:type="spellEnd"/>
      <w:r w:rsidRPr="0043508B">
        <w:rPr>
          <w:i/>
          <w:sz w:val="20"/>
          <w:szCs w:val="20"/>
        </w:rPr>
        <w:t xml:space="preserve"> e Fortis.</w:t>
      </w:r>
    </w:p>
  </w:footnote>
  <w:footnote w:id="13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>George Soros</w:t>
      </w:r>
      <w:r w:rsidRPr="0043508B">
        <w:rPr>
          <w:i/>
          <w:sz w:val="20"/>
          <w:szCs w:val="20"/>
        </w:rPr>
        <w:t xml:space="preserve">, O Novo Paradigma…, </w:t>
      </w:r>
      <w:r w:rsidRPr="0043508B">
        <w:rPr>
          <w:sz w:val="20"/>
          <w:szCs w:val="20"/>
        </w:rPr>
        <w:t xml:space="preserve">p. 18. O A. avisa-nos: quando o dinheiro é barato, o financiador vai emprestar dinheiro a tudo e todos, aligeirando as garantias e exigências (foi o </w:t>
      </w:r>
      <w:proofErr w:type="spellStart"/>
      <w:r w:rsidRPr="0043508B">
        <w:rPr>
          <w:sz w:val="20"/>
          <w:szCs w:val="20"/>
        </w:rPr>
        <w:t>casod</w:t>
      </w:r>
      <w:proofErr w:type="spellEnd"/>
      <w:r w:rsidRPr="0043508B">
        <w:rPr>
          <w:sz w:val="20"/>
          <w:szCs w:val="20"/>
        </w:rPr>
        <w:t xml:space="preserve"> o crédito hipotecário) e inventando engenhosas formas de estimular os negócios. </w:t>
      </w:r>
    </w:p>
  </w:footnote>
  <w:footnote w:id="14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O CEO do </w:t>
      </w:r>
      <w:r w:rsidRPr="0043508B">
        <w:rPr>
          <w:i/>
          <w:sz w:val="20"/>
          <w:szCs w:val="20"/>
        </w:rPr>
        <w:t>Citibank</w:t>
      </w:r>
      <w:r w:rsidRPr="0043508B">
        <w:rPr>
          <w:sz w:val="20"/>
          <w:szCs w:val="20"/>
        </w:rPr>
        <w:t xml:space="preserve">, </w:t>
      </w:r>
      <w:proofErr w:type="spellStart"/>
      <w:r w:rsidRPr="0043508B">
        <w:rPr>
          <w:sz w:val="20"/>
          <w:szCs w:val="20"/>
        </w:rPr>
        <w:t>Chuck</w:t>
      </w:r>
      <w:proofErr w:type="spellEnd"/>
      <w:r w:rsidRPr="0043508B">
        <w:rPr>
          <w:sz w:val="20"/>
          <w:szCs w:val="20"/>
        </w:rPr>
        <w:t xml:space="preserve"> Prince, jubilava: “</w:t>
      </w:r>
      <w:proofErr w:type="gramStart"/>
      <w:r w:rsidRPr="0043508B">
        <w:rPr>
          <w:sz w:val="20"/>
          <w:szCs w:val="20"/>
        </w:rPr>
        <w:t>[q</w:t>
      </w:r>
      <w:proofErr w:type="gramEnd"/>
      <w:r w:rsidRPr="0043508B">
        <w:rPr>
          <w:sz w:val="20"/>
          <w:szCs w:val="20"/>
        </w:rPr>
        <w:t>]</w:t>
      </w:r>
      <w:proofErr w:type="spellStart"/>
      <w:r w:rsidRPr="0043508B">
        <w:rPr>
          <w:sz w:val="20"/>
          <w:szCs w:val="20"/>
        </w:rPr>
        <w:t>uando</w:t>
      </w:r>
      <w:proofErr w:type="spellEnd"/>
      <w:r w:rsidRPr="0043508B">
        <w:rPr>
          <w:sz w:val="20"/>
          <w:szCs w:val="20"/>
        </w:rPr>
        <w:t xml:space="preserve"> a música parar em termos de liquidez, as coisas ficaram complicadas. Mas desde que a música continue a tocar, temos de nos levantar e dançar.”, </w:t>
      </w:r>
      <w:proofErr w:type="spellStart"/>
      <w:proofErr w:type="gramStart"/>
      <w:r w:rsidRPr="0043508B">
        <w:rPr>
          <w:i/>
          <w:sz w:val="20"/>
          <w:szCs w:val="20"/>
        </w:rPr>
        <w:t>últ</w:t>
      </w:r>
      <w:proofErr w:type="spellEnd"/>
      <w:proofErr w:type="gramEnd"/>
      <w:r w:rsidRPr="0043508B">
        <w:rPr>
          <w:i/>
          <w:sz w:val="20"/>
          <w:szCs w:val="20"/>
        </w:rPr>
        <w:t xml:space="preserve">. </w:t>
      </w:r>
      <w:proofErr w:type="gramStart"/>
      <w:r w:rsidRPr="0043508B">
        <w:rPr>
          <w:i/>
          <w:sz w:val="20"/>
          <w:szCs w:val="20"/>
        </w:rPr>
        <w:t>ob</w:t>
      </w:r>
      <w:proofErr w:type="gramEnd"/>
      <w:r w:rsidRPr="0043508B">
        <w:rPr>
          <w:i/>
          <w:sz w:val="20"/>
          <w:szCs w:val="20"/>
        </w:rPr>
        <w:t>. cit</w:t>
      </w:r>
      <w:r w:rsidRPr="0043508B">
        <w:rPr>
          <w:sz w:val="20"/>
          <w:szCs w:val="20"/>
        </w:rPr>
        <w:t xml:space="preserve">. p. 145. Outra expressão muito famosa à altura pertence a </w:t>
      </w:r>
      <w:r w:rsidRPr="0043508B">
        <w:rPr>
          <w:smallCaps/>
          <w:sz w:val="20"/>
          <w:szCs w:val="20"/>
        </w:rPr>
        <w:t>WARREN BUFFET</w:t>
      </w:r>
      <w:r w:rsidRPr="0043508B">
        <w:rPr>
          <w:sz w:val="20"/>
          <w:szCs w:val="20"/>
        </w:rPr>
        <w:t xml:space="preserve">: “Quando a maré baixar, ver-se-á quem está sem calções”, ou seja, uma espécie resumo dos tempos de abundância irreal: toda a gente vivia acima das possibilidades – com crédito fácil e barato. </w:t>
      </w:r>
    </w:p>
  </w:footnote>
  <w:footnote w:id="15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>George Soros</w:t>
      </w:r>
      <w:r w:rsidRPr="0043508B">
        <w:rPr>
          <w:i/>
          <w:sz w:val="20"/>
          <w:szCs w:val="20"/>
        </w:rPr>
        <w:t xml:space="preserve">, O Novo Paradigma…, </w:t>
      </w:r>
      <w:r w:rsidRPr="0043508B">
        <w:rPr>
          <w:sz w:val="20"/>
          <w:szCs w:val="20"/>
        </w:rPr>
        <w:t>p. 242.</w:t>
      </w:r>
    </w:p>
  </w:footnote>
  <w:footnote w:id="16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>Menezes Cordeiro</w:t>
      </w:r>
      <w:r w:rsidRPr="0043508B">
        <w:rPr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 xml:space="preserve">Direito Bancário…, </w:t>
      </w:r>
      <w:r w:rsidRPr="0043508B">
        <w:rPr>
          <w:sz w:val="20"/>
          <w:szCs w:val="20"/>
        </w:rPr>
        <w:t>p. 136.</w:t>
      </w:r>
    </w:p>
  </w:footnote>
  <w:footnote w:id="17">
    <w:p w:rsidR="0004132E" w:rsidRDefault="0004132E">
      <w:pPr>
        <w:pStyle w:val="FootnoteText"/>
      </w:pPr>
      <w:r>
        <w:rPr>
          <w:rStyle w:val="FootnoteReference"/>
        </w:rPr>
        <w:footnoteRef/>
      </w:r>
      <w:r>
        <w:t xml:space="preserve"> Acerca da crise do </w:t>
      </w:r>
      <w:proofErr w:type="spellStart"/>
      <w:proofErr w:type="gramStart"/>
      <w:r w:rsidRPr="0004132E">
        <w:rPr>
          <w:i/>
        </w:rPr>
        <w:t>subprime</w:t>
      </w:r>
      <w:proofErr w:type="spellEnd"/>
      <w:proofErr w:type="gramEnd"/>
      <w:r>
        <w:rPr>
          <w:i/>
        </w:rPr>
        <w:t xml:space="preserve"> vide </w:t>
      </w:r>
      <w:r w:rsidRPr="0004132E">
        <w:t>a</w:t>
      </w:r>
      <w:r>
        <w:t xml:space="preserve"> este respeito </w:t>
      </w:r>
      <w:r w:rsidRPr="004E5305">
        <w:rPr>
          <w:smallCaps/>
        </w:rPr>
        <w:t>Menezes Cordeiro</w:t>
      </w:r>
      <w:r w:rsidRPr="004E5305">
        <w:rPr>
          <w:i/>
        </w:rPr>
        <w:t>, Direito bancário</w:t>
      </w:r>
      <w:r>
        <w:rPr>
          <w:i/>
        </w:rPr>
        <w:t xml:space="preserve">…, </w:t>
      </w:r>
      <w:r w:rsidRPr="0004132E">
        <w:t xml:space="preserve">pp. 140 </w:t>
      </w:r>
      <w:proofErr w:type="spellStart"/>
      <w:r w:rsidRPr="0004132E">
        <w:t>ss</w:t>
      </w:r>
      <w:proofErr w:type="spellEnd"/>
      <w:r>
        <w:t>.</w:t>
      </w:r>
    </w:p>
  </w:footnote>
  <w:footnote w:id="18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A Crise poderá significar: “o momento de </w:t>
      </w:r>
      <w:proofErr w:type="spellStart"/>
      <w:r w:rsidRPr="004E5305">
        <w:t>ruptura</w:t>
      </w:r>
      <w:proofErr w:type="spellEnd"/>
      <w:r w:rsidRPr="004E5305">
        <w:t xml:space="preserve"> no funcionamento de um sistema, uma mutação qualitativa em sentido positivo ou em sentido negativo, uma reviravolta imprevisível e frequentemente violenta, não prevista no modulo normal segundo o qual se desenvolvem os interesses no seio do sistema considerado” (BOBBIO, NORBET, </w:t>
      </w:r>
      <w:proofErr w:type="spellStart"/>
      <w:r w:rsidRPr="004E5305">
        <w:rPr>
          <w:i/>
        </w:rPr>
        <w:t>et</w:t>
      </w:r>
      <w:proofErr w:type="spellEnd"/>
      <w:r w:rsidRPr="004E5305">
        <w:rPr>
          <w:i/>
        </w:rPr>
        <w:t xml:space="preserve"> al</w:t>
      </w:r>
      <w:r w:rsidRPr="004E5305">
        <w:t xml:space="preserve">, </w:t>
      </w:r>
      <w:proofErr w:type="spellStart"/>
      <w:r w:rsidRPr="004E5305">
        <w:rPr>
          <w:i/>
        </w:rPr>
        <w:t>Dizionario</w:t>
      </w:r>
      <w:proofErr w:type="spellEnd"/>
      <w:r w:rsidRPr="004E5305">
        <w:rPr>
          <w:i/>
        </w:rPr>
        <w:t xml:space="preserve"> </w:t>
      </w:r>
      <w:proofErr w:type="spellStart"/>
      <w:r w:rsidRPr="004E5305">
        <w:rPr>
          <w:i/>
        </w:rPr>
        <w:t>di</w:t>
      </w:r>
      <w:proofErr w:type="spellEnd"/>
      <w:r w:rsidRPr="004E5305">
        <w:rPr>
          <w:i/>
        </w:rPr>
        <w:t xml:space="preserve"> Politica</w:t>
      </w:r>
      <w:r w:rsidRPr="004E5305">
        <w:t xml:space="preserve">, UTET; Turim, 2004), </w:t>
      </w:r>
      <w:proofErr w:type="spellStart"/>
      <w:r w:rsidRPr="004E5305">
        <w:rPr>
          <w:i/>
        </w:rPr>
        <w:t>cit</w:t>
      </w:r>
      <w:proofErr w:type="spellEnd"/>
      <w:r w:rsidRPr="004E5305">
        <w:rPr>
          <w:i/>
        </w:rPr>
        <w:t xml:space="preserve"> </w:t>
      </w:r>
      <w:proofErr w:type="spellStart"/>
      <w:r w:rsidRPr="004E5305">
        <w:rPr>
          <w:i/>
        </w:rPr>
        <w:t>apud</w:t>
      </w:r>
      <w:proofErr w:type="spellEnd"/>
      <w:r w:rsidRPr="004E5305">
        <w:t xml:space="preserve"> </w:t>
      </w:r>
      <w:r w:rsidRPr="004E5305">
        <w:rPr>
          <w:smallCaps/>
        </w:rPr>
        <w:t>Câmara, Carla Inês Brás</w:t>
      </w:r>
      <w:r w:rsidRPr="004E5305">
        <w:t xml:space="preserve">, </w:t>
      </w:r>
      <w:r w:rsidRPr="004E5305">
        <w:rPr>
          <w:i/>
        </w:rPr>
        <w:t xml:space="preserve">A Aquisição da…, </w:t>
      </w:r>
      <w:r w:rsidRPr="004E5305">
        <w:t>pp. 647e 648</w:t>
      </w:r>
      <w:r w:rsidRPr="004E5305">
        <w:rPr>
          <w:i/>
        </w:rPr>
        <w:t>.</w:t>
      </w:r>
    </w:p>
  </w:footnote>
  <w:footnote w:id="19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“Na origem do mútuo encontramos relações de solidariedade e de convívio humano”, em que aquele que possuísse maior excedente de bens cedia-o a quem na altura estivesse mais necessitado </w:t>
      </w:r>
      <w:proofErr w:type="spellStart"/>
      <w:r w:rsidRPr="004E5305">
        <w:rPr>
          <w:i/>
        </w:rPr>
        <w:t>apud</w:t>
      </w:r>
      <w:proofErr w:type="spellEnd"/>
      <w:r w:rsidRPr="004E5305">
        <w:t xml:space="preserve"> </w:t>
      </w:r>
      <w:r w:rsidRPr="004E5305">
        <w:rPr>
          <w:smallCaps/>
        </w:rPr>
        <w:t>Menezes Cordeiro</w:t>
      </w:r>
      <w:r w:rsidRPr="004E5305">
        <w:rPr>
          <w:i/>
        </w:rPr>
        <w:t xml:space="preserve">, Manual Direito…, </w:t>
      </w:r>
      <w:r w:rsidRPr="004E5305">
        <w:t>p. 662.</w:t>
      </w:r>
    </w:p>
  </w:footnote>
  <w:footnote w:id="20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Carlos Ferreira De Almeida</w:t>
      </w:r>
      <w:r w:rsidRPr="004E5305">
        <w:t xml:space="preserve">, </w:t>
      </w:r>
      <w:r w:rsidRPr="004E5305">
        <w:rPr>
          <w:i/>
        </w:rPr>
        <w:t>Contratos II</w:t>
      </w:r>
      <w:r w:rsidRPr="004E5305">
        <w:t>, 3ª ed., Almedina, Coimbra, 2012, p. 138.</w:t>
      </w:r>
    </w:p>
  </w:footnote>
  <w:footnote w:id="21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i/>
        </w:rPr>
        <w:t>Ibidem</w:t>
      </w:r>
      <w:r w:rsidRPr="004E5305">
        <w:t xml:space="preserve">, p. 138. No mesmo diapasão, </w:t>
      </w:r>
      <w:r w:rsidRPr="004E5305">
        <w:rPr>
          <w:smallCaps/>
        </w:rPr>
        <w:t>Menezes Cordeiro</w:t>
      </w:r>
      <w:r w:rsidRPr="004E5305">
        <w:t xml:space="preserve"> (</w:t>
      </w:r>
      <w:proofErr w:type="spellStart"/>
      <w:r w:rsidRPr="004E5305">
        <w:rPr>
          <w:i/>
        </w:rPr>
        <w:t>ult</w:t>
      </w:r>
      <w:proofErr w:type="spellEnd"/>
      <w:r w:rsidRPr="004E5305">
        <w:rPr>
          <w:i/>
        </w:rPr>
        <w:t>. ob. cit.</w:t>
      </w:r>
      <w:r w:rsidRPr="004E5305">
        <w:t>, p. 664) afirma que celebrado o contrato e entregue a coisa ao mutuário, este torna-se proprietário do mesmo, nos termos do 1144ºCC.</w:t>
      </w:r>
    </w:p>
  </w:footnote>
  <w:footnote w:id="22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“Comodato é o contrato gratuito pelo qual uma das partes entrega à outra certa coia, móvel ou imóvel, para que se servia dela, com a obrigação de a restituir”, </w:t>
      </w:r>
      <w:proofErr w:type="spellStart"/>
      <w:r w:rsidRPr="004E5305">
        <w:t>cfr</w:t>
      </w:r>
      <w:proofErr w:type="spellEnd"/>
      <w:r w:rsidRPr="004E5305">
        <w:t xml:space="preserve">. </w:t>
      </w:r>
      <w:proofErr w:type="spellStart"/>
      <w:r w:rsidRPr="004E5305">
        <w:t>art</w:t>
      </w:r>
      <w:proofErr w:type="spellEnd"/>
      <w:r w:rsidRPr="004E5305">
        <w:t xml:space="preserve">. </w:t>
      </w:r>
      <w:proofErr w:type="gramStart"/>
      <w:r w:rsidRPr="004E5305">
        <w:t>1129º  CC.</w:t>
      </w:r>
      <w:proofErr w:type="gramEnd"/>
    </w:p>
  </w:footnote>
  <w:footnote w:id="23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proofErr w:type="spellStart"/>
      <w:r w:rsidRPr="004E5305">
        <w:t>Cfr</w:t>
      </w:r>
      <w:proofErr w:type="spellEnd"/>
      <w:r w:rsidRPr="004E5305">
        <w:t xml:space="preserve">. </w:t>
      </w:r>
      <w:r w:rsidRPr="004E5305">
        <w:rPr>
          <w:smallCaps/>
        </w:rPr>
        <w:t>Menezes Cordeiro</w:t>
      </w:r>
      <w:r w:rsidRPr="004E5305">
        <w:rPr>
          <w:i/>
        </w:rPr>
        <w:t xml:space="preserve">, Direito bancário… </w:t>
      </w:r>
      <w:r w:rsidRPr="004E5305">
        <w:t>p. 662.</w:t>
      </w:r>
    </w:p>
  </w:footnote>
  <w:footnote w:id="24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Menezes Leitão</w:t>
      </w:r>
      <w:r w:rsidRPr="004E5305">
        <w:t xml:space="preserve">, </w:t>
      </w:r>
      <w:r w:rsidRPr="004E5305">
        <w:rPr>
          <w:i/>
        </w:rPr>
        <w:t xml:space="preserve">Direito das Obrigações, </w:t>
      </w:r>
      <w:proofErr w:type="spellStart"/>
      <w:r w:rsidRPr="004E5305">
        <w:rPr>
          <w:i/>
        </w:rPr>
        <w:t>Vol</w:t>
      </w:r>
      <w:proofErr w:type="spellEnd"/>
      <w:r w:rsidRPr="004E5305">
        <w:rPr>
          <w:i/>
        </w:rPr>
        <w:t xml:space="preserve"> III – Garantias em especial, </w:t>
      </w:r>
      <w:r w:rsidRPr="004E5305">
        <w:t>7ª ed., Almedina, 2010, p. 394.</w:t>
      </w:r>
    </w:p>
  </w:footnote>
  <w:footnote w:id="25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O mutuário não pode invocar a impossibilidade superveniente </w:t>
      </w:r>
      <w:proofErr w:type="spellStart"/>
      <w:r w:rsidRPr="004E5305">
        <w:t>objectiva</w:t>
      </w:r>
      <w:proofErr w:type="spellEnd"/>
      <w:r w:rsidRPr="004E5305">
        <w:t xml:space="preserve"> da sua obrigação,</w:t>
      </w:r>
      <w:r w:rsidRPr="004E5305">
        <w:rPr>
          <w:i/>
        </w:rPr>
        <w:t xml:space="preserve"> vide</w:t>
      </w:r>
      <w:r w:rsidRPr="004E5305">
        <w:t xml:space="preserve"> </w:t>
      </w:r>
      <w:proofErr w:type="spellStart"/>
      <w:r w:rsidRPr="004E5305">
        <w:t>art</w:t>
      </w:r>
      <w:proofErr w:type="spellEnd"/>
      <w:r w:rsidRPr="004E5305">
        <w:t>. 1149º CC.</w:t>
      </w:r>
    </w:p>
  </w:footnote>
  <w:footnote w:id="26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proofErr w:type="spellStart"/>
      <w:r w:rsidRPr="004E5305">
        <w:t>Cfr</w:t>
      </w:r>
      <w:proofErr w:type="spellEnd"/>
      <w:r w:rsidRPr="004E5305">
        <w:t xml:space="preserve">. </w:t>
      </w:r>
      <w:r w:rsidRPr="004E5305">
        <w:rPr>
          <w:smallCaps/>
        </w:rPr>
        <w:t>Menezes Cordeiro</w:t>
      </w:r>
      <w:r w:rsidRPr="004E5305">
        <w:rPr>
          <w:i/>
        </w:rPr>
        <w:t xml:space="preserve">, Direito Bancário…, </w:t>
      </w:r>
      <w:r w:rsidRPr="004E5305">
        <w:t>p. 665.</w:t>
      </w:r>
    </w:p>
  </w:footnote>
  <w:footnote w:id="27">
    <w:p w:rsidR="007F578E" w:rsidRPr="004E5305" w:rsidRDefault="007F578E" w:rsidP="004E5305">
      <w:pPr>
        <w:pStyle w:val="FootnoteText"/>
        <w:jc w:val="both"/>
        <w:rPr>
          <w:lang w:val="en-US"/>
        </w:rPr>
      </w:pPr>
      <w:r w:rsidRPr="004E5305">
        <w:rPr>
          <w:rStyle w:val="FootnoteReference"/>
        </w:rPr>
        <w:footnoteRef/>
      </w:r>
      <w:r w:rsidRPr="004E5305">
        <w:rPr>
          <w:lang w:val="en-US"/>
        </w:rPr>
        <w:t xml:space="preserve"> </w:t>
      </w:r>
      <w:proofErr w:type="spellStart"/>
      <w:r w:rsidRPr="004E5305">
        <w:rPr>
          <w:i/>
          <w:lang w:val="en-US"/>
        </w:rPr>
        <w:t>Ibidem</w:t>
      </w:r>
      <w:proofErr w:type="spellEnd"/>
      <w:r w:rsidRPr="004E5305">
        <w:rPr>
          <w:lang w:val="en-US"/>
        </w:rPr>
        <w:t>, p. 665.</w:t>
      </w:r>
    </w:p>
  </w:footnote>
  <w:footnote w:id="28">
    <w:p w:rsidR="007F578E" w:rsidRPr="004E5305" w:rsidRDefault="007F578E" w:rsidP="004E5305">
      <w:pPr>
        <w:pStyle w:val="FootnoteText"/>
        <w:jc w:val="both"/>
        <w:rPr>
          <w:lang w:val="en-US"/>
        </w:rPr>
      </w:pPr>
      <w:r w:rsidRPr="004E5305">
        <w:rPr>
          <w:rStyle w:val="FootnoteReference"/>
        </w:rPr>
        <w:footnoteRef/>
      </w:r>
      <w:r w:rsidRPr="004E5305">
        <w:rPr>
          <w:lang w:val="en-US"/>
        </w:rPr>
        <w:t xml:space="preserve"> </w:t>
      </w:r>
      <w:proofErr w:type="spellStart"/>
      <w:r w:rsidRPr="004E5305">
        <w:rPr>
          <w:lang w:val="en-US"/>
        </w:rPr>
        <w:t>Cfr</w:t>
      </w:r>
      <w:proofErr w:type="spellEnd"/>
      <w:r w:rsidRPr="004E5305">
        <w:rPr>
          <w:lang w:val="en-US"/>
        </w:rPr>
        <w:t xml:space="preserve">. art.395º </w:t>
      </w:r>
      <w:proofErr w:type="spellStart"/>
      <w:r w:rsidRPr="004E5305">
        <w:rPr>
          <w:lang w:val="en-US"/>
        </w:rPr>
        <w:t>CCom</w:t>
      </w:r>
      <w:proofErr w:type="spellEnd"/>
      <w:r w:rsidRPr="004E5305">
        <w:rPr>
          <w:lang w:val="en-US"/>
        </w:rPr>
        <w:t>.</w:t>
      </w:r>
    </w:p>
  </w:footnote>
  <w:footnote w:id="29">
    <w:p w:rsidR="007F578E" w:rsidRPr="004E5305" w:rsidRDefault="007F578E" w:rsidP="004E5305">
      <w:pPr>
        <w:pStyle w:val="FootnoteText"/>
        <w:jc w:val="both"/>
        <w:rPr>
          <w:lang w:val="en-US"/>
        </w:rPr>
      </w:pPr>
      <w:r w:rsidRPr="004E5305">
        <w:rPr>
          <w:rStyle w:val="FootnoteReference"/>
        </w:rPr>
        <w:footnoteRef/>
      </w:r>
      <w:r w:rsidRPr="004E5305">
        <w:rPr>
          <w:lang w:val="en-US"/>
        </w:rPr>
        <w:t xml:space="preserve"> </w:t>
      </w:r>
      <w:proofErr w:type="spellStart"/>
      <w:r w:rsidRPr="004E5305">
        <w:rPr>
          <w:lang w:val="en-US"/>
        </w:rPr>
        <w:t>Cfr</w:t>
      </w:r>
      <w:proofErr w:type="spellEnd"/>
      <w:r w:rsidRPr="004E5305">
        <w:rPr>
          <w:lang w:val="en-US"/>
        </w:rPr>
        <w:t xml:space="preserve">. art. 396º </w:t>
      </w:r>
      <w:proofErr w:type="spellStart"/>
      <w:r w:rsidRPr="004E5305">
        <w:rPr>
          <w:lang w:val="en-US"/>
        </w:rPr>
        <w:t>CCom</w:t>
      </w:r>
      <w:proofErr w:type="spellEnd"/>
      <w:r w:rsidRPr="004E5305">
        <w:rPr>
          <w:lang w:val="en-US"/>
        </w:rPr>
        <w:t>.</w:t>
      </w:r>
    </w:p>
  </w:footnote>
  <w:footnote w:id="30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Com as mais diversas designações idiomáticas: </w:t>
      </w:r>
      <w:proofErr w:type="spellStart"/>
      <w:r w:rsidRPr="004E5305">
        <w:rPr>
          <w:i/>
        </w:rPr>
        <w:t>bank</w:t>
      </w:r>
      <w:proofErr w:type="spellEnd"/>
      <w:r w:rsidRPr="004E5305">
        <w:rPr>
          <w:i/>
        </w:rPr>
        <w:t xml:space="preserve"> </w:t>
      </w:r>
      <w:proofErr w:type="spellStart"/>
      <w:r w:rsidRPr="004E5305">
        <w:rPr>
          <w:i/>
        </w:rPr>
        <w:t>loan</w:t>
      </w:r>
      <w:proofErr w:type="spellEnd"/>
      <w:r w:rsidRPr="004E5305">
        <w:t xml:space="preserve">, </w:t>
      </w:r>
      <w:proofErr w:type="spellStart"/>
      <w:r w:rsidRPr="004E5305">
        <w:rPr>
          <w:i/>
        </w:rPr>
        <w:t>Darlehensvertrag</w:t>
      </w:r>
      <w:proofErr w:type="spellEnd"/>
      <w:r w:rsidRPr="004E5305">
        <w:t xml:space="preserve">, </w:t>
      </w:r>
      <w:proofErr w:type="spellStart"/>
      <w:r w:rsidRPr="004E5305">
        <w:rPr>
          <w:i/>
        </w:rPr>
        <w:t>prêt</w:t>
      </w:r>
      <w:proofErr w:type="spellEnd"/>
      <w:r w:rsidRPr="004E5305">
        <w:rPr>
          <w:i/>
        </w:rPr>
        <w:t xml:space="preserve"> </w:t>
      </w:r>
      <w:proofErr w:type="spellStart"/>
      <w:r w:rsidRPr="004E5305">
        <w:rPr>
          <w:i/>
        </w:rPr>
        <w:t>bancaire</w:t>
      </w:r>
      <w:proofErr w:type="spellEnd"/>
      <w:r w:rsidRPr="004E5305">
        <w:t xml:space="preserve">, </w:t>
      </w:r>
      <w:proofErr w:type="gramStart"/>
      <w:r w:rsidRPr="004E5305">
        <w:rPr>
          <w:i/>
        </w:rPr>
        <w:t>prestamos</w:t>
      </w:r>
      <w:proofErr w:type="gramEnd"/>
      <w:r w:rsidRPr="004E5305">
        <w:rPr>
          <w:i/>
        </w:rPr>
        <w:t xml:space="preserve"> bancário, </w:t>
      </w:r>
      <w:proofErr w:type="spellStart"/>
      <w:r w:rsidRPr="004E5305">
        <w:rPr>
          <w:i/>
        </w:rPr>
        <w:t>apud</w:t>
      </w:r>
      <w:proofErr w:type="spellEnd"/>
      <w:r w:rsidRPr="004E5305">
        <w:rPr>
          <w:i/>
        </w:rPr>
        <w:t xml:space="preserve"> </w:t>
      </w:r>
      <w:r w:rsidRPr="004E5305">
        <w:rPr>
          <w:smallCaps/>
        </w:rPr>
        <w:t xml:space="preserve">Engrácia Antunes, </w:t>
      </w:r>
      <w:r w:rsidRPr="004E5305">
        <w:rPr>
          <w:i/>
        </w:rPr>
        <w:t>Direito dos Contratos Comerciais</w:t>
      </w:r>
      <w:r w:rsidRPr="004E5305">
        <w:t>, Almedina, Coimbra, 2012, p. 497.</w:t>
      </w:r>
    </w:p>
  </w:footnote>
  <w:footnote w:id="31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Carlos Ferreira De Almeida</w:t>
      </w:r>
      <w:r w:rsidRPr="004E5305">
        <w:t xml:space="preserve">, </w:t>
      </w:r>
      <w:r w:rsidRPr="004E5305">
        <w:rPr>
          <w:i/>
        </w:rPr>
        <w:t xml:space="preserve">Contratos II…, </w:t>
      </w:r>
      <w:r w:rsidRPr="004E5305">
        <w:t>p. 138</w:t>
      </w:r>
      <w:r w:rsidRPr="004E5305">
        <w:rPr>
          <w:i/>
        </w:rPr>
        <w:t>.</w:t>
      </w:r>
    </w:p>
  </w:footnote>
  <w:footnote w:id="32">
    <w:p w:rsidR="007F578E" w:rsidRPr="004E5305" w:rsidRDefault="007F578E" w:rsidP="004E530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E5305">
        <w:rPr>
          <w:rStyle w:val="FootnoteReference"/>
          <w:sz w:val="20"/>
          <w:szCs w:val="20"/>
        </w:rPr>
        <w:footnoteRef/>
      </w:r>
      <w:r w:rsidRPr="004E5305">
        <w:rPr>
          <w:sz w:val="20"/>
          <w:szCs w:val="20"/>
        </w:rPr>
        <w:t xml:space="preserve"> </w:t>
      </w:r>
      <w:r w:rsidRPr="004E5305">
        <w:rPr>
          <w:smallCaps/>
          <w:sz w:val="20"/>
          <w:szCs w:val="20"/>
        </w:rPr>
        <w:t>Engrácia Antunes</w:t>
      </w:r>
      <w:r w:rsidRPr="004E5305">
        <w:rPr>
          <w:sz w:val="20"/>
          <w:szCs w:val="20"/>
        </w:rPr>
        <w:t xml:space="preserve">, </w:t>
      </w:r>
      <w:r w:rsidRPr="004E5305">
        <w:rPr>
          <w:i/>
          <w:sz w:val="20"/>
          <w:szCs w:val="20"/>
        </w:rPr>
        <w:t>Direito dos Contratos Comerciais…</w:t>
      </w:r>
      <w:r w:rsidRPr="004E5305">
        <w:rPr>
          <w:sz w:val="20"/>
          <w:szCs w:val="20"/>
        </w:rPr>
        <w:t xml:space="preserve"> p. 498.</w:t>
      </w:r>
    </w:p>
  </w:footnote>
  <w:footnote w:id="33">
    <w:p w:rsidR="007F578E" w:rsidRPr="004E5305" w:rsidRDefault="007F578E" w:rsidP="004E5305">
      <w:pPr>
        <w:autoSpaceDE w:val="0"/>
        <w:autoSpaceDN w:val="0"/>
        <w:adjustRightInd w:val="0"/>
        <w:spacing w:after="0" w:line="240" w:lineRule="auto"/>
        <w:jc w:val="both"/>
        <w:rPr>
          <w:color w:val="222222"/>
          <w:sz w:val="20"/>
          <w:szCs w:val="20"/>
        </w:rPr>
      </w:pPr>
      <w:r w:rsidRPr="004E5305">
        <w:rPr>
          <w:rStyle w:val="FootnoteReference"/>
          <w:sz w:val="20"/>
          <w:szCs w:val="20"/>
        </w:rPr>
        <w:footnoteRef/>
      </w:r>
      <w:r w:rsidRPr="004E5305">
        <w:rPr>
          <w:sz w:val="20"/>
          <w:szCs w:val="20"/>
        </w:rPr>
        <w:t xml:space="preserve"> “</w:t>
      </w:r>
      <w:r w:rsidRPr="004E5305">
        <w:rPr>
          <w:color w:val="222222"/>
          <w:sz w:val="20"/>
          <w:szCs w:val="20"/>
        </w:rPr>
        <w:t xml:space="preserve">Os contratos de mútuo ou usura, seja qual for o seu valor, quando feitos por estabelecimentos bancários autorizados, podem provar-se por escrito particular, ainda mesmo que a outra parte contratante não seja comerciante”, </w:t>
      </w:r>
      <w:proofErr w:type="spellStart"/>
      <w:r w:rsidRPr="004E5305">
        <w:rPr>
          <w:i/>
          <w:color w:val="222222"/>
          <w:sz w:val="20"/>
          <w:szCs w:val="20"/>
        </w:rPr>
        <w:t>apud</w:t>
      </w:r>
      <w:proofErr w:type="spellEnd"/>
      <w:r w:rsidRPr="004E5305">
        <w:rPr>
          <w:color w:val="222222"/>
          <w:sz w:val="20"/>
          <w:szCs w:val="20"/>
        </w:rPr>
        <w:t xml:space="preserve"> </w:t>
      </w:r>
      <w:r w:rsidRPr="004E5305">
        <w:rPr>
          <w:smallCaps/>
          <w:sz w:val="20"/>
          <w:szCs w:val="20"/>
        </w:rPr>
        <w:t>Menezes Cordeiro</w:t>
      </w:r>
      <w:r w:rsidRPr="004E5305">
        <w:rPr>
          <w:i/>
          <w:sz w:val="20"/>
          <w:szCs w:val="20"/>
        </w:rPr>
        <w:t xml:space="preserve">, Direito Bancário…, </w:t>
      </w:r>
      <w:r w:rsidRPr="004E5305">
        <w:rPr>
          <w:sz w:val="20"/>
          <w:szCs w:val="20"/>
        </w:rPr>
        <w:t>p. 674</w:t>
      </w:r>
      <w:r w:rsidRPr="004E5305">
        <w:rPr>
          <w:i/>
          <w:sz w:val="20"/>
          <w:szCs w:val="20"/>
        </w:rPr>
        <w:t>.</w:t>
      </w:r>
    </w:p>
  </w:footnote>
  <w:footnote w:id="34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Menezes Cordeiro</w:t>
      </w:r>
      <w:r w:rsidRPr="004E5305">
        <w:rPr>
          <w:i/>
        </w:rPr>
        <w:t xml:space="preserve">, Direito Bancário…, </w:t>
      </w:r>
      <w:r w:rsidRPr="004E5305">
        <w:t>p. 677.</w:t>
      </w:r>
    </w:p>
  </w:footnote>
  <w:footnote w:id="35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Menezes Leitão,</w:t>
      </w:r>
      <w:r w:rsidRPr="004E5305">
        <w:t xml:space="preserve"> </w:t>
      </w:r>
      <w:r w:rsidRPr="004E5305">
        <w:rPr>
          <w:i/>
        </w:rPr>
        <w:t>Direito das Obrigações…</w:t>
      </w:r>
      <w:r w:rsidRPr="004E5305">
        <w:t>, p. 425.</w:t>
      </w:r>
    </w:p>
  </w:footnote>
  <w:footnote w:id="36">
    <w:p w:rsidR="007F578E" w:rsidRPr="004E5305" w:rsidRDefault="007F578E" w:rsidP="004E5305">
      <w:pPr>
        <w:pStyle w:val="FootnoteText"/>
        <w:jc w:val="both"/>
        <w:rPr>
          <w:lang w:val="en-US"/>
        </w:rPr>
      </w:pPr>
      <w:r w:rsidRPr="004E5305">
        <w:rPr>
          <w:rStyle w:val="FootnoteReference"/>
        </w:rPr>
        <w:footnoteRef/>
      </w:r>
      <w:r w:rsidRPr="004E5305">
        <w:rPr>
          <w:lang w:val="en-US"/>
        </w:rPr>
        <w:t xml:space="preserve"> </w:t>
      </w:r>
      <w:proofErr w:type="spellStart"/>
      <w:r w:rsidRPr="004E5305">
        <w:rPr>
          <w:lang w:val="en-US"/>
        </w:rPr>
        <w:t>Cfr</w:t>
      </w:r>
      <w:proofErr w:type="spellEnd"/>
      <w:r w:rsidRPr="004E5305">
        <w:rPr>
          <w:lang w:val="en-US"/>
        </w:rPr>
        <w:t>. art. 780º CC.</w:t>
      </w:r>
    </w:p>
  </w:footnote>
  <w:footnote w:id="37">
    <w:p w:rsidR="007F578E" w:rsidRPr="004E5305" w:rsidRDefault="007F578E" w:rsidP="004E5305">
      <w:pPr>
        <w:pStyle w:val="FootnoteText"/>
        <w:jc w:val="both"/>
        <w:rPr>
          <w:lang w:val="en-US"/>
        </w:rPr>
      </w:pPr>
      <w:r w:rsidRPr="004E5305">
        <w:rPr>
          <w:rStyle w:val="FootnoteReference"/>
        </w:rPr>
        <w:footnoteRef/>
      </w:r>
      <w:r w:rsidRPr="004E5305">
        <w:rPr>
          <w:lang w:val="en-US"/>
        </w:rPr>
        <w:t xml:space="preserve"> </w:t>
      </w:r>
      <w:proofErr w:type="spellStart"/>
      <w:r w:rsidRPr="004E5305">
        <w:rPr>
          <w:lang w:val="en-US"/>
        </w:rPr>
        <w:t>Cfr</w:t>
      </w:r>
      <w:proofErr w:type="spellEnd"/>
      <w:r w:rsidRPr="004E5305">
        <w:rPr>
          <w:lang w:val="en-US"/>
        </w:rPr>
        <w:t>. art. 781º do CC.</w:t>
      </w:r>
    </w:p>
  </w:footnote>
  <w:footnote w:id="38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proofErr w:type="spellStart"/>
      <w:r w:rsidRPr="004E5305">
        <w:t>Cfr</w:t>
      </w:r>
      <w:proofErr w:type="spellEnd"/>
      <w:r w:rsidRPr="004E5305">
        <w:t xml:space="preserve">. </w:t>
      </w:r>
      <w:proofErr w:type="spellStart"/>
      <w:proofErr w:type="gramStart"/>
      <w:r w:rsidRPr="004E5305">
        <w:t>art</w:t>
      </w:r>
      <w:proofErr w:type="spellEnd"/>
      <w:proofErr w:type="gramEnd"/>
      <w:r w:rsidRPr="004E5305">
        <w:t>. 1150º CC.</w:t>
      </w:r>
    </w:p>
  </w:footnote>
  <w:footnote w:id="39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rPr>
          <w:i/>
        </w:rPr>
        <w:t xml:space="preserve"> </w:t>
      </w:r>
      <w:r w:rsidRPr="004E5305">
        <w:t xml:space="preserve">Acórdão do STJ 7/10/2004, Faria Antunes, disponível em </w:t>
      </w:r>
      <w:hyperlink r:id="rId1" w:history="1">
        <w:r w:rsidRPr="004E5305">
          <w:rPr>
            <w:rStyle w:val="Hyperlink"/>
            <w:color w:val="auto"/>
            <w:u w:val="none"/>
          </w:rPr>
          <w:t>www.dgsi.pt</w:t>
        </w:r>
      </w:hyperlink>
      <w:r w:rsidRPr="004E5305">
        <w:t>, [consultado em 21/5/2015].</w:t>
      </w:r>
    </w:p>
  </w:footnote>
  <w:footnote w:id="40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 xml:space="preserve">Menezes Cordeiro, </w:t>
      </w:r>
      <w:r w:rsidRPr="004E5305">
        <w:rPr>
          <w:i/>
        </w:rPr>
        <w:t>Tratado de Direito Civil X – Direito das Obrigações – Garantias</w:t>
      </w:r>
      <w:r w:rsidRPr="004E5305">
        <w:t>, Almedina Coimbra, 2015, p. 35.</w:t>
      </w:r>
    </w:p>
  </w:footnote>
  <w:footnote w:id="41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i/>
        </w:rPr>
        <w:t>Ibidem,</w:t>
      </w:r>
      <w:r w:rsidRPr="004E5305">
        <w:t xml:space="preserve"> p. 35.</w:t>
      </w:r>
    </w:p>
  </w:footnote>
  <w:footnote w:id="42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Almeida Costa</w:t>
      </w:r>
      <w:r w:rsidRPr="004E5305">
        <w:t xml:space="preserve">, </w:t>
      </w:r>
      <w:r w:rsidRPr="004E5305">
        <w:rPr>
          <w:i/>
        </w:rPr>
        <w:t>Direito das Obrigações</w:t>
      </w:r>
      <w:r w:rsidRPr="004E5305">
        <w:t>, 11ª ed., Almedina, 2008, p. 843.</w:t>
      </w:r>
    </w:p>
  </w:footnote>
  <w:footnote w:id="43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A responsabilidade ilimitada do devedor comporta limitações legais, previstas no </w:t>
      </w:r>
      <w:proofErr w:type="spellStart"/>
      <w:r w:rsidRPr="004E5305">
        <w:t>art</w:t>
      </w:r>
      <w:proofErr w:type="spellEnd"/>
      <w:r w:rsidRPr="004E5305">
        <w:t xml:space="preserve">. 601º do CC, no qual se enquadram os regimes especialmente estabelecidos em consequência da separação de patrimónios; para mais desenvolvimentos </w:t>
      </w:r>
      <w:proofErr w:type="spellStart"/>
      <w:r w:rsidRPr="004E5305">
        <w:t>Cfr</w:t>
      </w:r>
      <w:proofErr w:type="spellEnd"/>
      <w:r w:rsidRPr="004E5305">
        <w:t xml:space="preserve">. </w:t>
      </w:r>
      <w:r w:rsidRPr="004E5305">
        <w:rPr>
          <w:smallCaps/>
        </w:rPr>
        <w:t>Almeida Costa</w:t>
      </w:r>
      <w:r w:rsidRPr="004E5305">
        <w:t xml:space="preserve">, </w:t>
      </w:r>
      <w:r w:rsidRPr="004E5305">
        <w:rPr>
          <w:i/>
        </w:rPr>
        <w:t>Direito…</w:t>
      </w:r>
      <w:r w:rsidRPr="004E5305">
        <w:t xml:space="preserve">, pp. 845 </w:t>
      </w:r>
      <w:proofErr w:type="spellStart"/>
      <w:r w:rsidRPr="004E5305">
        <w:t>ss</w:t>
      </w:r>
      <w:proofErr w:type="spellEnd"/>
      <w:r w:rsidRPr="004E5305">
        <w:t xml:space="preserve">. </w:t>
      </w:r>
    </w:p>
  </w:footnote>
  <w:footnote w:id="44">
    <w:p w:rsidR="007F578E" w:rsidRPr="004E5305" w:rsidRDefault="007F578E" w:rsidP="004E5305">
      <w:pPr>
        <w:pStyle w:val="FootnoteText"/>
        <w:jc w:val="both"/>
        <w:rPr>
          <w:lang w:val="en-US"/>
        </w:rPr>
      </w:pPr>
      <w:r w:rsidRPr="004E5305">
        <w:rPr>
          <w:rStyle w:val="FootnoteReference"/>
        </w:rPr>
        <w:footnoteRef/>
      </w:r>
      <w:r w:rsidRPr="004E5305">
        <w:rPr>
          <w:lang w:val="en-US"/>
        </w:rPr>
        <w:t xml:space="preserve"> </w:t>
      </w:r>
      <w:proofErr w:type="spellStart"/>
      <w:r w:rsidRPr="004E5305">
        <w:rPr>
          <w:lang w:val="en-US"/>
        </w:rPr>
        <w:t>Cfr</w:t>
      </w:r>
      <w:proofErr w:type="spellEnd"/>
      <w:r w:rsidRPr="004E5305">
        <w:rPr>
          <w:lang w:val="en-US"/>
        </w:rPr>
        <w:t>. art. 601º do CC.</w:t>
      </w:r>
    </w:p>
  </w:footnote>
  <w:footnote w:id="45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Almeida Costa</w:t>
      </w:r>
      <w:r w:rsidRPr="004E5305">
        <w:t xml:space="preserve">, </w:t>
      </w:r>
      <w:r w:rsidRPr="004E5305">
        <w:rPr>
          <w:i/>
        </w:rPr>
        <w:t>Direito…</w:t>
      </w:r>
      <w:r w:rsidRPr="004E5305">
        <w:t>, p. 844.</w:t>
      </w:r>
    </w:p>
  </w:footnote>
  <w:footnote w:id="46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Nuno Pinto Oliveira</w:t>
      </w:r>
      <w:r w:rsidRPr="004E5305">
        <w:t xml:space="preserve">, </w:t>
      </w:r>
      <w:r w:rsidRPr="004E5305">
        <w:rPr>
          <w:i/>
        </w:rPr>
        <w:t>Princípios de Direitos dos Contratos</w:t>
      </w:r>
      <w:r w:rsidRPr="004E5305">
        <w:t>, Coimbra Editora, Coimbra, 2001, p. 97.</w:t>
      </w:r>
    </w:p>
  </w:footnote>
  <w:footnote w:id="47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Almeida Costa</w:t>
      </w:r>
      <w:r w:rsidRPr="004E5305">
        <w:t xml:space="preserve">, </w:t>
      </w:r>
      <w:r w:rsidRPr="004E5305">
        <w:rPr>
          <w:i/>
        </w:rPr>
        <w:t>Direito das Obrigações…</w:t>
      </w:r>
      <w:r w:rsidRPr="004E5305">
        <w:t>., p. 938.</w:t>
      </w:r>
    </w:p>
  </w:footnote>
  <w:footnote w:id="48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proofErr w:type="spellStart"/>
      <w:r w:rsidRPr="0043508B">
        <w:rPr>
          <w:i/>
          <w:sz w:val="20"/>
          <w:szCs w:val="20"/>
        </w:rPr>
        <w:t>Últ</w:t>
      </w:r>
      <w:proofErr w:type="spellEnd"/>
      <w:r w:rsidRPr="0043508B">
        <w:rPr>
          <w:i/>
          <w:sz w:val="20"/>
          <w:szCs w:val="20"/>
        </w:rPr>
        <w:t xml:space="preserve">. </w:t>
      </w:r>
      <w:proofErr w:type="gramStart"/>
      <w:r w:rsidRPr="0043508B">
        <w:rPr>
          <w:i/>
          <w:sz w:val="20"/>
          <w:szCs w:val="20"/>
        </w:rPr>
        <w:t>ob</w:t>
      </w:r>
      <w:proofErr w:type="gramEnd"/>
      <w:r w:rsidRPr="0043508B">
        <w:rPr>
          <w:i/>
          <w:sz w:val="20"/>
          <w:szCs w:val="20"/>
        </w:rPr>
        <w:t>. cit</w:t>
      </w:r>
      <w:r w:rsidRPr="0043508B">
        <w:rPr>
          <w:sz w:val="20"/>
          <w:szCs w:val="20"/>
        </w:rPr>
        <w:t>., p. 939.</w:t>
      </w:r>
    </w:p>
  </w:footnote>
  <w:footnote w:id="49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>Isabel Menéres Campos</w:t>
      </w:r>
      <w:r w:rsidRPr="0043508B">
        <w:rPr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>Da Hipoteca – Caracterização, Constituição e Efeitos</w:t>
      </w:r>
      <w:r w:rsidRPr="0043508B">
        <w:rPr>
          <w:sz w:val="20"/>
          <w:szCs w:val="20"/>
        </w:rPr>
        <w:t>, Almedina, Coimbra, 2003, p. 86.</w:t>
      </w:r>
    </w:p>
  </w:footnote>
  <w:footnote w:id="50">
    <w:p w:rsidR="007F578E" w:rsidRPr="0043508B" w:rsidRDefault="007F578E" w:rsidP="0043508B">
      <w:pPr>
        <w:pStyle w:val="NoSpacing"/>
        <w:rPr>
          <w:sz w:val="20"/>
          <w:szCs w:val="20"/>
          <w:lang w:val="en-US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  <w:lang w:val="en-US"/>
        </w:rPr>
        <w:t xml:space="preserve"> </w:t>
      </w:r>
      <w:proofErr w:type="spellStart"/>
      <w:r w:rsidRPr="0043508B">
        <w:rPr>
          <w:sz w:val="20"/>
          <w:szCs w:val="20"/>
          <w:lang w:val="en-US"/>
        </w:rPr>
        <w:t>Cfr</w:t>
      </w:r>
      <w:proofErr w:type="spellEnd"/>
      <w:r w:rsidRPr="0043508B">
        <w:rPr>
          <w:sz w:val="20"/>
          <w:szCs w:val="20"/>
          <w:lang w:val="en-US"/>
        </w:rPr>
        <w:t>. art. 703º do CC.</w:t>
      </w:r>
    </w:p>
  </w:footnote>
  <w:footnote w:id="51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Alguma doutrina entende que a hipoteca judicial tem a sua fonte na lei. Ao contrário do que o nome sugere, estas não se constituem por sentenças, o que acontece é que a “sua constituição, por iniciativa do credor com moldes similares aos das hipotecas legais, resulta do mero facto de ser proferida uma sentença – ainda que não transitada em julgado – que condene alguém numa prestação”, assim </w:t>
      </w:r>
      <w:r w:rsidRPr="0043508B">
        <w:rPr>
          <w:smallCaps/>
          <w:sz w:val="20"/>
          <w:szCs w:val="20"/>
        </w:rPr>
        <w:t>Rui Pinto Duarte</w:t>
      </w:r>
      <w:r w:rsidRPr="0043508B">
        <w:rPr>
          <w:i/>
          <w:sz w:val="20"/>
          <w:szCs w:val="20"/>
        </w:rPr>
        <w:t>, Curso de Direitos Reais</w:t>
      </w:r>
      <w:r w:rsidRPr="0043508B">
        <w:rPr>
          <w:sz w:val="20"/>
          <w:szCs w:val="20"/>
        </w:rPr>
        <w:t xml:space="preserve">, 2ªed., Principia, 2007, p. 219. </w:t>
      </w:r>
    </w:p>
  </w:footnote>
  <w:footnote w:id="52">
    <w:p w:rsidR="007F578E" w:rsidRPr="0043508B" w:rsidRDefault="007F578E" w:rsidP="0043508B">
      <w:pPr>
        <w:pStyle w:val="NoSpacing"/>
        <w:rPr>
          <w:sz w:val="20"/>
          <w:szCs w:val="20"/>
          <w:lang w:val="en-US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  <w:lang w:val="en-US"/>
        </w:rPr>
        <w:t xml:space="preserve"> </w:t>
      </w:r>
      <w:proofErr w:type="spellStart"/>
      <w:r w:rsidRPr="0043508B">
        <w:rPr>
          <w:sz w:val="20"/>
          <w:szCs w:val="20"/>
          <w:lang w:val="en-US"/>
        </w:rPr>
        <w:t>Cfr</w:t>
      </w:r>
      <w:proofErr w:type="spellEnd"/>
      <w:r w:rsidRPr="0043508B">
        <w:rPr>
          <w:sz w:val="20"/>
          <w:szCs w:val="20"/>
          <w:lang w:val="en-US"/>
        </w:rPr>
        <w:t>. art. 712</w:t>
      </w:r>
      <w:proofErr w:type="gramStart"/>
      <w:r w:rsidRPr="0043508B">
        <w:rPr>
          <w:sz w:val="20"/>
          <w:szCs w:val="20"/>
          <w:lang w:val="en-US"/>
        </w:rPr>
        <w:t>.º</w:t>
      </w:r>
      <w:proofErr w:type="gramEnd"/>
      <w:r w:rsidRPr="0043508B">
        <w:rPr>
          <w:sz w:val="20"/>
          <w:szCs w:val="20"/>
          <w:lang w:val="en-US"/>
        </w:rPr>
        <w:t xml:space="preserve"> CC.</w:t>
      </w:r>
    </w:p>
  </w:footnote>
  <w:footnote w:id="53">
    <w:p w:rsidR="007F578E" w:rsidRPr="0043508B" w:rsidRDefault="007F578E" w:rsidP="0043508B">
      <w:pPr>
        <w:pStyle w:val="NoSpacing"/>
        <w:rPr>
          <w:sz w:val="20"/>
          <w:szCs w:val="20"/>
          <w:lang w:val="en-US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  <w:lang w:val="en-US"/>
        </w:rPr>
        <w:t xml:space="preserve"> </w:t>
      </w:r>
      <w:proofErr w:type="spellStart"/>
      <w:r w:rsidRPr="0043508B">
        <w:rPr>
          <w:sz w:val="20"/>
          <w:szCs w:val="20"/>
          <w:lang w:val="en-US"/>
        </w:rPr>
        <w:t>Cfr.art</w:t>
      </w:r>
      <w:proofErr w:type="spellEnd"/>
      <w:r w:rsidRPr="0043508B">
        <w:rPr>
          <w:sz w:val="20"/>
          <w:szCs w:val="20"/>
          <w:lang w:val="en-US"/>
        </w:rPr>
        <w:t>. 714</w:t>
      </w:r>
      <w:proofErr w:type="gramStart"/>
      <w:r w:rsidRPr="0043508B">
        <w:rPr>
          <w:sz w:val="20"/>
          <w:szCs w:val="20"/>
          <w:lang w:val="en-US"/>
        </w:rPr>
        <w:t>.º</w:t>
      </w:r>
      <w:proofErr w:type="gramEnd"/>
      <w:r w:rsidRPr="0043508B">
        <w:rPr>
          <w:sz w:val="20"/>
          <w:szCs w:val="20"/>
          <w:lang w:val="en-US"/>
        </w:rPr>
        <w:t xml:space="preserve"> CC.</w:t>
      </w:r>
    </w:p>
  </w:footnote>
  <w:footnote w:id="54">
    <w:p w:rsidR="007F578E" w:rsidRPr="004E5305" w:rsidRDefault="007F578E" w:rsidP="004E5305">
      <w:pPr>
        <w:pStyle w:val="FootnoteText"/>
        <w:jc w:val="both"/>
        <w:rPr>
          <w:lang w:val="en-US"/>
        </w:rPr>
      </w:pPr>
      <w:r w:rsidRPr="004E5305">
        <w:rPr>
          <w:rStyle w:val="FootnoteReference"/>
        </w:rPr>
        <w:footnoteRef/>
      </w:r>
      <w:r w:rsidRPr="004E5305">
        <w:rPr>
          <w:lang w:val="en-US"/>
        </w:rPr>
        <w:t xml:space="preserve"> </w:t>
      </w:r>
      <w:proofErr w:type="spellStart"/>
      <w:r w:rsidRPr="004E5305">
        <w:rPr>
          <w:lang w:val="en-US"/>
        </w:rPr>
        <w:t>Cfr</w:t>
      </w:r>
      <w:proofErr w:type="spellEnd"/>
      <w:r w:rsidRPr="004E5305">
        <w:rPr>
          <w:lang w:val="en-US"/>
        </w:rPr>
        <w:t>. art. 715º CC.</w:t>
      </w:r>
    </w:p>
  </w:footnote>
  <w:footnote w:id="55">
    <w:p w:rsidR="007F578E" w:rsidRPr="00CF7B25" w:rsidRDefault="007F578E" w:rsidP="004E5305">
      <w:pPr>
        <w:pStyle w:val="FootnoteText"/>
        <w:jc w:val="both"/>
        <w:rPr>
          <w:lang w:val="en-US"/>
        </w:rPr>
      </w:pPr>
      <w:r w:rsidRPr="004E5305">
        <w:rPr>
          <w:rStyle w:val="FootnoteReference"/>
        </w:rPr>
        <w:footnoteRef/>
      </w:r>
      <w:r w:rsidRPr="00CF7B25">
        <w:rPr>
          <w:lang w:val="en-US"/>
        </w:rPr>
        <w:t xml:space="preserve"> </w:t>
      </w:r>
      <w:proofErr w:type="spellStart"/>
      <w:r w:rsidRPr="00CF7B25">
        <w:rPr>
          <w:lang w:val="en-US"/>
        </w:rPr>
        <w:t>Cffr</w:t>
      </w:r>
      <w:proofErr w:type="spellEnd"/>
      <w:r w:rsidRPr="00CF7B25">
        <w:rPr>
          <w:lang w:val="en-US"/>
        </w:rPr>
        <w:t>. Art. 713º CC.</w:t>
      </w:r>
    </w:p>
  </w:footnote>
  <w:footnote w:id="56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 xml:space="preserve">Menezes Cordeiro, </w:t>
      </w:r>
      <w:r w:rsidRPr="004E5305">
        <w:rPr>
          <w:i/>
        </w:rPr>
        <w:t xml:space="preserve">Tratado de Direito Civil X…, </w:t>
      </w:r>
      <w:r w:rsidRPr="004E5305">
        <w:t>p. 762.</w:t>
      </w:r>
    </w:p>
  </w:footnote>
  <w:footnote w:id="57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Henrique Mesquita</w:t>
      </w:r>
      <w:r w:rsidRPr="004E5305">
        <w:t xml:space="preserve">, </w:t>
      </w:r>
      <w:r w:rsidRPr="004E5305">
        <w:rPr>
          <w:i/>
        </w:rPr>
        <w:t>Obrigações reais e Ónus Reais</w:t>
      </w:r>
      <w:r w:rsidRPr="004E5305">
        <w:t xml:space="preserve">, Almedina, 2000, p. 77. </w:t>
      </w:r>
    </w:p>
  </w:footnote>
  <w:footnote w:id="58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proofErr w:type="spellStart"/>
      <w:r w:rsidRPr="004E5305">
        <w:t>Cfr</w:t>
      </w:r>
      <w:proofErr w:type="spellEnd"/>
      <w:r w:rsidRPr="004E5305">
        <w:t xml:space="preserve">. </w:t>
      </w:r>
      <w:proofErr w:type="spellStart"/>
      <w:proofErr w:type="gramStart"/>
      <w:r w:rsidRPr="004E5305">
        <w:t>art</w:t>
      </w:r>
      <w:proofErr w:type="spellEnd"/>
      <w:proofErr w:type="gramEnd"/>
      <w:r w:rsidRPr="004E5305">
        <w:t>. 694º CC.</w:t>
      </w:r>
    </w:p>
  </w:footnote>
  <w:footnote w:id="59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Januário Gomes</w:t>
      </w:r>
      <w:r w:rsidRPr="004E5305">
        <w:t xml:space="preserve">, </w:t>
      </w:r>
      <w:r w:rsidRPr="004E5305">
        <w:rPr>
          <w:i/>
        </w:rPr>
        <w:t>Assunção Fidejussória de Dívida</w:t>
      </w:r>
      <w:r w:rsidRPr="004E5305">
        <w:t xml:space="preserve">, Almedina, 2000, p. 92 a 94, </w:t>
      </w:r>
      <w:proofErr w:type="spellStart"/>
      <w:r w:rsidRPr="004E5305">
        <w:rPr>
          <w:i/>
        </w:rPr>
        <w:t>cit</w:t>
      </w:r>
      <w:proofErr w:type="spellEnd"/>
      <w:r w:rsidRPr="004E5305">
        <w:rPr>
          <w:i/>
        </w:rPr>
        <w:t xml:space="preserve"> </w:t>
      </w:r>
      <w:proofErr w:type="spellStart"/>
      <w:r w:rsidRPr="004E5305">
        <w:rPr>
          <w:i/>
        </w:rPr>
        <w:t>apud</w:t>
      </w:r>
      <w:proofErr w:type="spellEnd"/>
      <w:r w:rsidRPr="004E5305">
        <w:t xml:space="preserve"> Acórdão do STJ, 21/12/2005, Pereira da Silva, disponível em </w:t>
      </w:r>
      <w:hyperlink r:id="rId2" w:history="1">
        <w:r w:rsidRPr="004E5305">
          <w:rPr>
            <w:rStyle w:val="Hyperlink"/>
            <w:color w:val="auto"/>
            <w:u w:val="none"/>
          </w:rPr>
          <w:t>www.dgsi.pt</w:t>
        </w:r>
      </w:hyperlink>
      <w:r w:rsidRPr="004E5305">
        <w:t>, [consultado em 19/5/2015].</w:t>
      </w:r>
    </w:p>
  </w:footnote>
  <w:footnote w:id="60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i/>
        </w:rPr>
        <w:t xml:space="preserve">Vide </w:t>
      </w:r>
      <w:r w:rsidRPr="004E5305">
        <w:rPr>
          <w:smallCaps/>
        </w:rPr>
        <w:t>Almeida Costa</w:t>
      </w:r>
      <w:r w:rsidRPr="004E5305">
        <w:t xml:space="preserve">, </w:t>
      </w:r>
      <w:r w:rsidRPr="004E5305">
        <w:rPr>
          <w:i/>
        </w:rPr>
        <w:t>Direito das Obrigações…</w:t>
      </w:r>
      <w:r w:rsidRPr="004E5305">
        <w:t>, p. 957.</w:t>
      </w:r>
    </w:p>
  </w:footnote>
  <w:footnote w:id="61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Isabel Menéres Campos</w:t>
      </w:r>
      <w:r w:rsidRPr="004E5305">
        <w:t xml:space="preserve">, </w:t>
      </w:r>
      <w:r w:rsidRPr="004E5305">
        <w:rPr>
          <w:i/>
        </w:rPr>
        <w:t xml:space="preserve">Da Hipoteca…, </w:t>
      </w:r>
      <w:r w:rsidRPr="004E5305">
        <w:t>p. 196</w:t>
      </w:r>
      <w:r w:rsidRPr="004E5305">
        <w:rPr>
          <w:i/>
        </w:rPr>
        <w:t>.</w:t>
      </w:r>
      <w:r w:rsidRPr="004E5305">
        <w:t xml:space="preserve"> A </w:t>
      </w:r>
      <w:proofErr w:type="spellStart"/>
      <w:r w:rsidRPr="004E5305">
        <w:t>A</w:t>
      </w:r>
      <w:proofErr w:type="spellEnd"/>
      <w:r w:rsidRPr="004E5305">
        <w:t xml:space="preserve">. relembra-nos o </w:t>
      </w:r>
      <w:proofErr w:type="spellStart"/>
      <w:r w:rsidRPr="004E5305">
        <w:rPr>
          <w:i/>
        </w:rPr>
        <w:t>iter</w:t>
      </w:r>
      <w:proofErr w:type="spellEnd"/>
      <w:r w:rsidRPr="004E5305">
        <w:t xml:space="preserve"> da execução</w:t>
      </w:r>
      <w:r w:rsidRPr="004E5305">
        <w:rPr>
          <w:i/>
        </w:rPr>
        <w:t>: (i)</w:t>
      </w:r>
      <w:r w:rsidRPr="004E5305">
        <w:t xml:space="preserve"> a penhora: </w:t>
      </w:r>
      <w:r w:rsidRPr="004E5305">
        <w:rPr>
          <w:i/>
        </w:rPr>
        <w:t>(</w:t>
      </w:r>
      <w:proofErr w:type="spellStart"/>
      <w:r w:rsidRPr="004E5305">
        <w:rPr>
          <w:i/>
        </w:rPr>
        <w:t>ii</w:t>
      </w:r>
      <w:proofErr w:type="spellEnd"/>
      <w:r w:rsidRPr="004E5305">
        <w:rPr>
          <w:i/>
        </w:rPr>
        <w:t>)</w:t>
      </w:r>
      <w:r w:rsidRPr="004E5305">
        <w:t xml:space="preserve"> a venda judicial dos bens penhorados; e </w:t>
      </w:r>
      <w:r w:rsidRPr="004E5305">
        <w:rPr>
          <w:i/>
        </w:rPr>
        <w:t>(</w:t>
      </w:r>
      <w:proofErr w:type="spellStart"/>
      <w:r w:rsidRPr="004E5305">
        <w:rPr>
          <w:i/>
        </w:rPr>
        <w:t>iii</w:t>
      </w:r>
      <w:proofErr w:type="spellEnd"/>
      <w:r w:rsidRPr="004E5305">
        <w:rPr>
          <w:i/>
        </w:rPr>
        <w:t>)</w:t>
      </w:r>
      <w:r w:rsidRPr="004E5305">
        <w:t xml:space="preserve"> o consequente pagamento aos credores com o produto da venda judicial.</w:t>
      </w:r>
    </w:p>
  </w:footnote>
  <w:footnote w:id="62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proofErr w:type="spellStart"/>
      <w:r w:rsidRPr="004E5305">
        <w:t>Cfr</w:t>
      </w:r>
      <w:proofErr w:type="spellEnd"/>
      <w:r w:rsidRPr="004E5305">
        <w:t xml:space="preserve">. </w:t>
      </w:r>
      <w:proofErr w:type="spellStart"/>
      <w:proofErr w:type="gramStart"/>
      <w:r w:rsidRPr="004E5305">
        <w:t>arts</w:t>
      </w:r>
      <w:proofErr w:type="spellEnd"/>
      <w:proofErr w:type="gramEnd"/>
      <w:r w:rsidRPr="004E5305">
        <w:t xml:space="preserve">. 713º </w:t>
      </w:r>
      <w:proofErr w:type="gramStart"/>
      <w:r w:rsidRPr="004E5305">
        <w:t>a</w:t>
      </w:r>
      <w:proofErr w:type="gramEnd"/>
      <w:r w:rsidRPr="004E5305">
        <w:t xml:space="preserve"> 716º do CPC</w:t>
      </w:r>
      <w:r w:rsidR="005D0141" w:rsidRPr="004E5305">
        <w:t xml:space="preserve"> 2013</w:t>
      </w:r>
      <w:r w:rsidRPr="004E5305">
        <w:t>.</w:t>
      </w:r>
    </w:p>
  </w:footnote>
  <w:footnote w:id="63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Henrique Mesquita</w:t>
      </w:r>
      <w:r w:rsidRPr="004E5305">
        <w:t xml:space="preserve">, </w:t>
      </w:r>
      <w:r w:rsidRPr="004E5305">
        <w:rPr>
          <w:i/>
        </w:rPr>
        <w:t xml:space="preserve">Obrigações Reais…, </w:t>
      </w:r>
      <w:r w:rsidRPr="004E5305">
        <w:t>pp. 76 e 77.</w:t>
      </w:r>
    </w:p>
  </w:footnote>
  <w:footnote w:id="64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Disponível </w:t>
      </w:r>
      <w:proofErr w:type="gramStart"/>
      <w:r w:rsidRPr="004E5305">
        <w:t>em</w:t>
      </w:r>
      <w:proofErr w:type="gramEnd"/>
      <w:r w:rsidRPr="004E5305">
        <w:t xml:space="preserve">: </w:t>
      </w:r>
      <w:hyperlink r:id="rId3" w:history="1">
        <w:r w:rsidRPr="004E5305">
          <w:rPr>
            <w:rStyle w:val="Hyperlink"/>
            <w:color w:val="auto"/>
            <w:u w:val="none"/>
          </w:rPr>
          <w:t>http://www.inverbis.pt/2012/ficheiros/doc/tribunalportalegre_creditohipotecario.pdf</w:t>
        </w:r>
      </w:hyperlink>
      <w:r w:rsidRPr="004E5305">
        <w:t xml:space="preserve"> [consultado em 19.05.2015].</w:t>
      </w:r>
    </w:p>
  </w:footnote>
  <w:footnote w:id="65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Envidamos, sem sucesso, todos os esforços no sentido de conhecer a razão da não interposição de recurso por parte do credor hipotecário. </w:t>
      </w:r>
    </w:p>
  </w:footnote>
  <w:footnote w:id="66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proofErr w:type="gramStart"/>
      <w:r w:rsidRPr="004E5305">
        <w:t>“[A</w:t>
      </w:r>
      <w:proofErr w:type="gramEnd"/>
      <w:r w:rsidRPr="004E5305">
        <w:t xml:space="preserve">] decisão que o tribunal profere possui pura eficácia </w:t>
      </w:r>
      <w:r w:rsidRPr="004E5305">
        <w:rPr>
          <w:i/>
        </w:rPr>
        <w:t>concreta</w:t>
      </w:r>
      <w:r w:rsidRPr="004E5305">
        <w:t xml:space="preserve">, no sentido de que só é obrigatória para as partes que intervêm no litigio. O tribunal formula a sentença, com ela dá ao </w:t>
      </w:r>
      <w:r w:rsidR="003C5B97" w:rsidRPr="004E5305">
        <w:t>litígio</w:t>
      </w:r>
      <w:r w:rsidRPr="004E5305">
        <w:t xml:space="preserve"> uma solução que a partes têm de acatar, mas há aqui um puro comando </w:t>
      </w:r>
      <w:r w:rsidRPr="004E5305">
        <w:rPr>
          <w:i/>
        </w:rPr>
        <w:t xml:space="preserve">individual – sem </w:t>
      </w:r>
      <w:proofErr w:type="spellStart"/>
      <w:r w:rsidRPr="004E5305">
        <w:rPr>
          <w:i/>
        </w:rPr>
        <w:t>projecção</w:t>
      </w:r>
      <w:proofErr w:type="spellEnd"/>
      <w:r w:rsidRPr="004E5305">
        <w:rPr>
          <w:i/>
        </w:rPr>
        <w:t xml:space="preserve"> no futuro” </w:t>
      </w:r>
      <w:proofErr w:type="spellStart"/>
      <w:r w:rsidRPr="004E5305">
        <w:rPr>
          <w:i/>
        </w:rPr>
        <w:t>apud</w:t>
      </w:r>
      <w:proofErr w:type="spellEnd"/>
      <w:r w:rsidRPr="004E5305">
        <w:rPr>
          <w:i/>
        </w:rPr>
        <w:t xml:space="preserve"> </w:t>
      </w:r>
      <w:r w:rsidRPr="004E5305">
        <w:rPr>
          <w:smallCaps/>
        </w:rPr>
        <w:t>Inocêncio Galvão Telles</w:t>
      </w:r>
      <w:r w:rsidRPr="004E5305">
        <w:t xml:space="preserve">, </w:t>
      </w:r>
      <w:r w:rsidRPr="004E5305">
        <w:rPr>
          <w:i/>
        </w:rPr>
        <w:t>Introdução ao Estudo do Direito</w:t>
      </w:r>
      <w:r w:rsidRPr="004E5305">
        <w:t xml:space="preserve">, Vol. I, 11ª ed., 2001, p. 142. Aprendemos </w:t>
      </w:r>
      <w:r w:rsidR="003C5B97" w:rsidRPr="004E5305">
        <w:t>nas primeiras</w:t>
      </w:r>
      <w:r w:rsidRPr="004E5305">
        <w:t xml:space="preserve"> aulas de Introdução ao Direito que para formar jurisprudência teria de chegar ao STJ e, mesmo assim, só existindo vários acórdãos contraditórios é que o STJ poderia tomar uma decisão com </w:t>
      </w:r>
      <w:r w:rsidRPr="004E5305">
        <w:rPr>
          <w:i/>
        </w:rPr>
        <w:t>força geral obrigatória</w:t>
      </w:r>
      <w:r w:rsidRPr="004E5305">
        <w:t xml:space="preserve"> – através de um acórdão de uniformização de jurisprudência.</w:t>
      </w:r>
    </w:p>
  </w:footnote>
  <w:footnote w:id="67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Tanto quanto nos é dado saber, existiam, à data, sete decisões similares desfavoráveis ao credor hipotecário</w:t>
      </w:r>
      <w:r w:rsidR="003C5B97" w:rsidRPr="0043508B">
        <w:rPr>
          <w:sz w:val="20"/>
          <w:szCs w:val="20"/>
        </w:rPr>
        <w:t xml:space="preserve"> em Portugal</w:t>
      </w:r>
      <w:r w:rsidRPr="0043508B">
        <w:rPr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 xml:space="preserve">in </w:t>
      </w:r>
      <w:r w:rsidRPr="0043508B">
        <w:rPr>
          <w:sz w:val="20"/>
          <w:szCs w:val="20"/>
        </w:rPr>
        <w:t xml:space="preserve">Boletim da Ordem dos Advogados disponível </w:t>
      </w:r>
      <w:proofErr w:type="gramStart"/>
      <w:r w:rsidRPr="0043508B">
        <w:rPr>
          <w:sz w:val="20"/>
          <w:szCs w:val="20"/>
        </w:rPr>
        <w:t>em</w:t>
      </w:r>
      <w:proofErr w:type="gramEnd"/>
      <w:r w:rsidRPr="0043508B">
        <w:rPr>
          <w:i/>
          <w:sz w:val="20"/>
          <w:szCs w:val="20"/>
        </w:rPr>
        <w:t xml:space="preserve">: </w:t>
      </w:r>
      <w:r w:rsidRPr="0043508B">
        <w:rPr>
          <w:sz w:val="20"/>
          <w:szCs w:val="20"/>
        </w:rPr>
        <w:t>http://www.oa.pt/upl/%7B66a162c9-0a85-458f-8b01-0b33b8648038%7D.PDF.</w:t>
      </w:r>
    </w:p>
  </w:footnote>
  <w:footnote w:id="68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Seguiremos a </w:t>
      </w:r>
      <w:r w:rsidRPr="0043508B">
        <w:rPr>
          <w:i/>
          <w:sz w:val="20"/>
          <w:szCs w:val="20"/>
        </w:rPr>
        <w:t xml:space="preserve">pari </w:t>
      </w:r>
      <w:proofErr w:type="spellStart"/>
      <w:r w:rsidRPr="0043508B">
        <w:rPr>
          <w:i/>
          <w:sz w:val="20"/>
          <w:szCs w:val="20"/>
        </w:rPr>
        <w:t>passu</w:t>
      </w:r>
      <w:proofErr w:type="spellEnd"/>
      <w:r w:rsidRPr="0043508B">
        <w:rPr>
          <w:sz w:val="20"/>
          <w:szCs w:val="20"/>
        </w:rPr>
        <w:t xml:space="preserve"> os apontamentos de </w:t>
      </w:r>
      <w:r w:rsidRPr="0043508B">
        <w:rPr>
          <w:smallCaps/>
          <w:sz w:val="20"/>
          <w:szCs w:val="20"/>
        </w:rPr>
        <w:t>Menezes Leitão</w:t>
      </w:r>
      <w:r w:rsidRPr="0043508B">
        <w:rPr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 xml:space="preserve">O Impacto da Crise Financeira no Regime do Credito à Habitação, </w:t>
      </w:r>
      <w:r w:rsidRPr="0043508B">
        <w:rPr>
          <w:sz w:val="20"/>
          <w:szCs w:val="20"/>
        </w:rPr>
        <w:t xml:space="preserve">AAVV, </w:t>
      </w:r>
      <w:r w:rsidRPr="0043508B">
        <w:rPr>
          <w:i/>
          <w:sz w:val="20"/>
          <w:szCs w:val="20"/>
        </w:rPr>
        <w:t>I Congresso de Direito Bancário</w:t>
      </w:r>
      <w:r w:rsidRPr="0043508B">
        <w:rPr>
          <w:sz w:val="20"/>
          <w:szCs w:val="20"/>
        </w:rPr>
        <w:t xml:space="preserve"> (</w:t>
      </w:r>
      <w:proofErr w:type="spellStart"/>
      <w:r w:rsidRPr="0043508B">
        <w:rPr>
          <w:sz w:val="20"/>
          <w:szCs w:val="20"/>
        </w:rPr>
        <w:t>coord</w:t>
      </w:r>
      <w:proofErr w:type="spellEnd"/>
      <w:r w:rsidRPr="0043508B">
        <w:rPr>
          <w:sz w:val="20"/>
          <w:szCs w:val="20"/>
        </w:rPr>
        <w:t xml:space="preserve">.) Luís Pestana Vasconcelos, Almedina, Coimbra, 2015, pp. 11 </w:t>
      </w:r>
      <w:proofErr w:type="spellStart"/>
      <w:r w:rsidRPr="0043508B">
        <w:rPr>
          <w:sz w:val="20"/>
          <w:szCs w:val="20"/>
        </w:rPr>
        <w:t>ss</w:t>
      </w:r>
      <w:proofErr w:type="spellEnd"/>
      <w:r w:rsidRPr="0043508B">
        <w:rPr>
          <w:sz w:val="20"/>
          <w:szCs w:val="20"/>
        </w:rPr>
        <w:t>.</w:t>
      </w:r>
    </w:p>
  </w:footnote>
  <w:footnote w:id="69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Artigo 105º </w:t>
      </w:r>
      <w:proofErr w:type="spellStart"/>
      <w:r w:rsidRPr="0043508B">
        <w:rPr>
          <w:i/>
          <w:sz w:val="20"/>
          <w:szCs w:val="20"/>
        </w:rPr>
        <w:t>Ley</w:t>
      </w:r>
      <w:proofErr w:type="spellEnd"/>
      <w:r w:rsidRPr="0043508B">
        <w:rPr>
          <w:i/>
          <w:sz w:val="20"/>
          <w:szCs w:val="20"/>
        </w:rPr>
        <w:t xml:space="preserve"> Hipotecaria</w:t>
      </w:r>
      <w:r w:rsidRPr="0043508B">
        <w:rPr>
          <w:sz w:val="20"/>
          <w:szCs w:val="20"/>
        </w:rPr>
        <w:t>: “</w:t>
      </w:r>
      <w:r w:rsidRPr="0043508B">
        <w:rPr>
          <w:sz w:val="20"/>
          <w:szCs w:val="20"/>
          <w:lang w:val="es-ES"/>
        </w:rPr>
        <w:t xml:space="preserve">La hipoteca podrá constituirse en garantía de toda clase de obligaciones y no alterará la responsabilidad personal ilimitada del deudor que establece el artículo mil novecientos once del Código Civil”, </w:t>
      </w:r>
      <w:proofErr w:type="spellStart"/>
      <w:r w:rsidRPr="0043508B">
        <w:rPr>
          <w:sz w:val="20"/>
          <w:szCs w:val="20"/>
          <w:lang w:val="es-ES"/>
        </w:rPr>
        <w:t>disponível</w:t>
      </w:r>
      <w:proofErr w:type="spellEnd"/>
      <w:r w:rsidRPr="0043508B">
        <w:rPr>
          <w:sz w:val="20"/>
          <w:szCs w:val="20"/>
          <w:lang w:val="es-ES"/>
        </w:rPr>
        <w:t xml:space="preserve"> </w:t>
      </w:r>
      <w:proofErr w:type="gramStart"/>
      <w:r w:rsidRPr="0043508B">
        <w:rPr>
          <w:sz w:val="20"/>
          <w:szCs w:val="20"/>
          <w:lang w:val="es-ES"/>
        </w:rPr>
        <w:t>em</w:t>
      </w:r>
      <w:proofErr w:type="gramEnd"/>
      <w:r w:rsidRPr="0043508B">
        <w:rPr>
          <w:sz w:val="20"/>
          <w:szCs w:val="20"/>
          <w:lang w:val="es-ES"/>
        </w:rPr>
        <w:t xml:space="preserve">: </w:t>
      </w:r>
      <w:hyperlink r:id="rId4" w:history="1">
        <w:r w:rsidRPr="0043508B">
          <w:rPr>
            <w:rStyle w:val="Hyperlink"/>
            <w:color w:val="auto"/>
            <w:sz w:val="20"/>
            <w:szCs w:val="20"/>
            <w:u w:val="none"/>
            <w:lang w:val="es-ES"/>
          </w:rPr>
          <w:t>https://www.boe.es/buscar/act.php?id=BOE-A-1946-2453</w:t>
        </w:r>
      </w:hyperlink>
      <w:r w:rsidRPr="0043508B">
        <w:rPr>
          <w:sz w:val="20"/>
          <w:szCs w:val="20"/>
          <w:lang w:val="es-ES"/>
        </w:rPr>
        <w:t xml:space="preserve"> [consultado em 23.05.2015].</w:t>
      </w:r>
    </w:p>
  </w:footnote>
  <w:footnote w:id="70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O artigo 579º, nº 1, </w:t>
      </w:r>
      <w:r w:rsidRPr="0043508B">
        <w:rPr>
          <w:i/>
          <w:sz w:val="20"/>
          <w:szCs w:val="20"/>
        </w:rPr>
        <w:t>in fine</w:t>
      </w:r>
      <w:r w:rsidR="00960209" w:rsidRPr="0043508B">
        <w:rPr>
          <w:i/>
          <w:sz w:val="20"/>
          <w:szCs w:val="20"/>
        </w:rPr>
        <w:t>,</w:t>
      </w:r>
      <w:r w:rsidRPr="0043508B">
        <w:rPr>
          <w:sz w:val="20"/>
          <w:szCs w:val="20"/>
        </w:rPr>
        <w:t xml:space="preserve"> da </w:t>
      </w:r>
      <w:proofErr w:type="spellStart"/>
      <w:r w:rsidRPr="0043508B">
        <w:rPr>
          <w:i/>
          <w:sz w:val="20"/>
          <w:szCs w:val="20"/>
        </w:rPr>
        <w:t>Ley</w:t>
      </w:r>
      <w:proofErr w:type="spellEnd"/>
      <w:r w:rsidRPr="0043508B">
        <w:rPr>
          <w:i/>
          <w:sz w:val="20"/>
          <w:szCs w:val="20"/>
        </w:rPr>
        <w:t xml:space="preserve"> de </w:t>
      </w:r>
      <w:proofErr w:type="spellStart"/>
      <w:r w:rsidRPr="0043508B">
        <w:rPr>
          <w:i/>
          <w:sz w:val="20"/>
          <w:szCs w:val="20"/>
        </w:rPr>
        <w:t>Enjuciamento</w:t>
      </w:r>
      <w:proofErr w:type="spellEnd"/>
      <w:r w:rsidRPr="0043508B">
        <w:rPr>
          <w:i/>
          <w:sz w:val="20"/>
          <w:szCs w:val="20"/>
        </w:rPr>
        <w:t xml:space="preserve"> Civil</w:t>
      </w:r>
      <w:r w:rsidRPr="0043508B">
        <w:rPr>
          <w:sz w:val="20"/>
          <w:szCs w:val="20"/>
        </w:rPr>
        <w:t xml:space="preserve"> prevê:</w:t>
      </w:r>
      <w:r w:rsidRPr="0043508B">
        <w:rPr>
          <w:sz w:val="20"/>
          <w:szCs w:val="20"/>
          <w:lang w:val="es-ES"/>
        </w:rPr>
        <w:t xml:space="preserve"> “</w:t>
      </w:r>
      <w:proofErr w:type="gramStart"/>
      <w:r w:rsidRPr="0043508B">
        <w:rPr>
          <w:sz w:val="20"/>
          <w:szCs w:val="20"/>
          <w:lang w:val="es-ES"/>
        </w:rPr>
        <w:t>[</w:t>
      </w:r>
      <w:proofErr w:type="gramEnd"/>
      <w:r w:rsidRPr="0043508B">
        <w:rPr>
          <w:sz w:val="20"/>
          <w:szCs w:val="20"/>
          <w:lang w:val="es-ES"/>
        </w:rPr>
        <w:t xml:space="preserve">…] Si, subastados los bienes hipotecados o pignorados, su producto fuera insuficiente para cubrir el crédito, el ejecutante podrá pedir el despacho de la ejecución por la cantidad que falte, y contra quienes proceda, y la ejecución proseguirá con arreglo a las normas ordinarias aplicables a toda ejecución”, </w:t>
      </w:r>
      <w:r w:rsidRPr="0043508B">
        <w:rPr>
          <w:sz w:val="20"/>
          <w:szCs w:val="20"/>
        </w:rPr>
        <w:t xml:space="preserve">disponível em </w:t>
      </w:r>
      <w:hyperlink r:id="rId5" w:history="1">
        <w:r w:rsidRPr="0043508B">
          <w:rPr>
            <w:rStyle w:val="Hyperlink"/>
            <w:color w:val="auto"/>
            <w:sz w:val="20"/>
            <w:szCs w:val="20"/>
            <w:u w:val="none"/>
          </w:rPr>
          <w:t>https://www.boe.es/buscar/act.php?id=BOE-A-2000-323</w:t>
        </w:r>
      </w:hyperlink>
      <w:r w:rsidRPr="0043508B">
        <w:rPr>
          <w:sz w:val="20"/>
          <w:szCs w:val="20"/>
        </w:rPr>
        <w:t xml:space="preserve"> [consultado em 23.05.2015].</w:t>
      </w:r>
    </w:p>
  </w:footnote>
  <w:footnote w:id="71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Com uma profundidade digna realce sobre as decisões espanholas </w:t>
      </w:r>
      <w:r w:rsidRPr="0043508B">
        <w:rPr>
          <w:i/>
          <w:sz w:val="20"/>
          <w:szCs w:val="20"/>
        </w:rPr>
        <w:t xml:space="preserve">vide </w:t>
      </w:r>
      <w:proofErr w:type="spellStart"/>
      <w:r w:rsidRPr="0043508B">
        <w:rPr>
          <w:smallCaps/>
          <w:sz w:val="20"/>
          <w:szCs w:val="20"/>
        </w:rPr>
        <w:t>Guillermo</w:t>
      </w:r>
      <w:proofErr w:type="spellEnd"/>
      <w:r w:rsidRPr="0043508B">
        <w:rPr>
          <w:smallCaps/>
          <w:sz w:val="20"/>
          <w:szCs w:val="20"/>
        </w:rPr>
        <w:t xml:space="preserve"> </w:t>
      </w:r>
      <w:proofErr w:type="spellStart"/>
      <w:r w:rsidRPr="0043508B">
        <w:rPr>
          <w:smallCaps/>
          <w:sz w:val="20"/>
          <w:szCs w:val="20"/>
        </w:rPr>
        <w:t>Orozco</w:t>
      </w:r>
      <w:proofErr w:type="spellEnd"/>
      <w:r w:rsidRPr="0043508B">
        <w:rPr>
          <w:smallCaps/>
          <w:sz w:val="20"/>
          <w:szCs w:val="20"/>
        </w:rPr>
        <w:t xml:space="preserve"> Pardo / Jose Luis Perez </w:t>
      </w:r>
      <w:proofErr w:type="spellStart"/>
      <w:r w:rsidRPr="0043508B">
        <w:rPr>
          <w:smallCaps/>
          <w:sz w:val="20"/>
          <w:szCs w:val="20"/>
        </w:rPr>
        <w:t>Serraboana</w:t>
      </w:r>
      <w:proofErr w:type="spellEnd"/>
      <w:r w:rsidRPr="0043508B">
        <w:rPr>
          <w:smallCaps/>
          <w:sz w:val="20"/>
          <w:szCs w:val="20"/>
        </w:rPr>
        <w:t xml:space="preserve"> </w:t>
      </w:r>
      <w:proofErr w:type="spellStart"/>
      <w:r w:rsidRPr="0043508B">
        <w:rPr>
          <w:smallCaps/>
          <w:sz w:val="20"/>
          <w:szCs w:val="20"/>
        </w:rPr>
        <w:t>González</w:t>
      </w:r>
      <w:proofErr w:type="spellEnd"/>
      <w:r w:rsidRPr="0043508B">
        <w:rPr>
          <w:color w:val="000000"/>
          <w:sz w:val="20"/>
          <w:szCs w:val="20"/>
        </w:rPr>
        <w:t xml:space="preserve">, </w:t>
      </w:r>
      <w:r w:rsidRPr="0043508B">
        <w:rPr>
          <w:i/>
          <w:color w:val="000000"/>
          <w:sz w:val="20"/>
          <w:szCs w:val="20"/>
        </w:rPr>
        <w:t xml:space="preserve">Problemática de la </w:t>
      </w:r>
      <w:proofErr w:type="spellStart"/>
      <w:r w:rsidRPr="0043508B">
        <w:rPr>
          <w:i/>
          <w:color w:val="000000"/>
          <w:sz w:val="20"/>
          <w:szCs w:val="20"/>
        </w:rPr>
        <w:t>Ejecución</w:t>
      </w:r>
      <w:proofErr w:type="spellEnd"/>
      <w:r w:rsidRPr="0043508B">
        <w:rPr>
          <w:i/>
          <w:color w:val="000000"/>
          <w:sz w:val="20"/>
          <w:szCs w:val="20"/>
        </w:rPr>
        <w:t xml:space="preserve"> Hipotecaria </w:t>
      </w:r>
      <w:proofErr w:type="spellStart"/>
      <w:r w:rsidRPr="0043508B">
        <w:rPr>
          <w:i/>
          <w:color w:val="000000"/>
          <w:sz w:val="20"/>
          <w:szCs w:val="20"/>
        </w:rPr>
        <w:t>en</w:t>
      </w:r>
      <w:proofErr w:type="spellEnd"/>
      <w:r w:rsidRPr="0043508B">
        <w:rPr>
          <w:i/>
          <w:color w:val="000000"/>
          <w:sz w:val="20"/>
          <w:szCs w:val="20"/>
        </w:rPr>
        <w:t xml:space="preserve"> el Contexto de la Crisis </w:t>
      </w:r>
      <w:proofErr w:type="spellStart"/>
      <w:r w:rsidRPr="0043508B">
        <w:rPr>
          <w:i/>
          <w:color w:val="000000"/>
          <w:sz w:val="20"/>
          <w:szCs w:val="20"/>
        </w:rPr>
        <w:t>Financiera</w:t>
      </w:r>
      <w:proofErr w:type="spellEnd"/>
      <w:r w:rsidRPr="0043508B">
        <w:rPr>
          <w:color w:val="000000"/>
          <w:sz w:val="20"/>
          <w:szCs w:val="20"/>
        </w:rPr>
        <w:t xml:space="preserve">, AAVV, </w:t>
      </w:r>
      <w:proofErr w:type="spellStart"/>
      <w:r w:rsidRPr="0043508B">
        <w:rPr>
          <w:i/>
          <w:color w:val="000000"/>
          <w:sz w:val="20"/>
          <w:szCs w:val="20"/>
        </w:rPr>
        <w:t>Liber</w:t>
      </w:r>
      <w:proofErr w:type="spellEnd"/>
      <w:r w:rsidRPr="0043508B">
        <w:rPr>
          <w:i/>
          <w:color w:val="000000"/>
          <w:sz w:val="20"/>
          <w:szCs w:val="20"/>
        </w:rPr>
        <w:t xml:space="preserve"> </w:t>
      </w:r>
      <w:proofErr w:type="spellStart"/>
      <w:r w:rsidRPr="0043508B">
        <w:rPr>
          <w:i/>
          <w:color w:val="000000"/>
          <w:sz w:val="20"/>
          <w:szCs w:val="20"/>
        </w:rPr>
        <w:t>Amicorum</w:t>
      </w:r>
      <w:proofErr w:type="spellEnd"/>
      <w:r w:rsidRPr="0043508B">
        <w:rPr>
          <w:color w:val="000000"/>
          <w:sz w:val="20"/>
          <w:szCs w:val="20"/>
        </w:rPr>
        <w:t xml:space="preserve"> Mário Frota, Almedina, Coimbra, 2012, pp. 227 </w:t>
      </w:r>
      <w:proofErr w:type="spellStart"/>
      <w:r w:rsidRPr="0043508B">
        <w:rPr>
          <w:color w:val="000000"/>
          <w:sz w:val="20"/>
          <w:szCs w:val="20"/>
        </w:rPr>
        <w:t>ss</w:t>
      </w:r>
      <w:proofErr w:type="spellEnd"/>
      <w:r w:rsidRPr="0043508B">
        <w:rPr>
          <w:color w:val="000000"/>
          <w:sz w:val="20"/>
          <w:szCs w:val="20"/>
        </w:rPr>
        <w:t>, assim como:</w:t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>Carla Inês Brás Câmara</w:t>
      </w:r>
      <w:r w:rsidRPr="0043508B">
        <w:rPr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>A Aquisição da Propriedade do Bem Hipotecado Pelo Credor e a Questão da Satisfação (Integral ou Parcial) do Crédito</w:t>
      </w:r>
      <w:r w:rsidRPr="0043508B">
        <w:rPr>
          <w:sz w:val="20"/>
          <w:szCs w:val="20"/>
        </w:rPr>
        <w:t xml:space="preserve">, AAVV in Estudos em Homenagem ao Professor Dr. Lebre de Freitas, Vol. I, Coimbra Editora, Coimbra, 2013, pp. 697 </w:t>
      </w:r>
      <w:proofErr w:type="spellStart"/>
      <w:r w:rsidRPr="0043508B">
        <w:rPr>
          <w:sz w:val="20"/>
          <w:szCs w:val="20"/>
        </w:rPr>
        <w:t>ss</w:t>
      </w:r>
      <w:proofErr w:type="spellEnd"/>
      <w:r w:rsidRPr="0043508B">
        <w:rPr>
          <w:sz w:val="20"/>
          <w:szCs w:val="20"/>
        </w:rPr>
        <w:t>.</w:t>
      </w:r>
    </w:p>
  </w:footnote>
  <w:footnote w:id="72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r w:rsidRPr="0043508B">
        <w:rPr>
          <w:i/>
          <w:color w:val="000000"/>
          <w:sz w:val="20"/>
          <w:szCs w:val="20"/>
        </w:rPr>
        <w:t>Vide</w:t>
      </w:r>
      <w:r w:rsidRPr="0043508B">
        <w:rPr>
          <w:color w:val="000000"/>
          <w:sz w:val="20"/>
          <w:szCs w:val="20"/>
        </w:rPr>
        <w:t xml:space="preserve"> também, </w:t>
      </w:r>
      <w:proofErr w:type="spellStart"/>
      <w:r w:rsidRPr="0043508B">
        <w:rPr>
          <w:color w:val="000000"/>
          <w:sz w:val="20"/>
          <w:szCs w:val="20"/>
        </w:rPr>
        <w:t>decalcadamente</w:t>
      </w:r>
      <w:proofErr w:type="spellEnd"/>
      <w:r w:rsidRPr="0043508B">
        <w:rPr>
          <w:color w:val="000000"/>
          <w:sz w:val="20"/>
          <w:szCs w:val="20"/>
        </w:rPr>
        <w:t>:</w:t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>Carla Inês Brás Câmara</w:t>
      </w:r>
      <w:r w:rsidRPr="0043508B">
        <w:rPr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>A Aquisição da Propriedade do Bem Hipotecado Pelo Credor e a Questão da Satisfação (Integral ou Parcial) do Crédito</w:t>
      </w:r>
      <w:r w:rsidRPr="0043508B">
        <w:rPr>
          <w:sz w:val="20"/>
          <w:szCs w:val="20"/>
        </w:rPr>
        <w:t xml:space="preserve">, AAVV </w:t>
      </w:r>
      <w:r w:rsidRPr="0043508B">
        <w:rPr>
          <w:i/>
          <w:sz w:val="20"/>
          <w:szCs w:val="20"/>
        </w:rPr>
        <w:t xml:space="preserve">in Estudos em Homenagem ao Professor Dr. </w:t>
      </w:r>
      <w:r w:rsidRPr="0043508B">
        <w:rPr>
          <w:i/>
          <w:smallCaps/>
          <w:sz w:val="20"/>
          <w:szCs w:val="20"/>
        </w:rPr>
        <w:t>Lebre de freitas</w:t>
      </w:r>
      <w:r w:rsidRPr="0043508B">
        <w:rPr>
          <w:sz w:val="20"/>
          <w:szCs w:val="20"/>
        </w:rPr>
        <w:t xml:space="preserve">, Vol. I, Coimbra Editora, Coimbra, 2013, pp. 697 </w:t>
      </w:r>
      <w:proofErr w:type="spellStart"/>
      <w:r w:rsidRPr="0043508B">
        <w:rPr>
          <w:sz w:val="20"/>
          <w:szCs w:val="20"/>
        </w:rPr>
        <w:t>ss</w:t>
      </w:r>
      <w:proofErr w:type="spellEnd"/>
      <w:r w:rsidRPr="0043508B">
        <w:rPr>
          <w:sz w:val="20"/>
          <w:szCs w:val="20"/>
        </w:rPr>
        <w:t>.</w:t>
      </w:r>
    </w:p>
  </w:footnote>
  <w:footnote w:id="73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Em </w:t>
      </w:r>
      <w:proofErr w:type="spellStart"/>
      <w:r w:rsidRPr="004E5305">
        <w:rPr>
          <w:i/>
        </w:rPr>
        <w:t>brevis</w:t>
      </w:r>
      <w:proofErr w:type="spellEnd"/>
      <w:r w:rsidRPr="004E5305">
        <w:rPr>
          <w:i/>
        </w:rPr>
        <w:t xml:space="preserve"> </w:t>
      </w:r>
      <w:proofErr w:type="spellStart"/>
      <w:r w:rsidRPr="004E5305">
        <w:rPr>
          <w:i/>
        </w:rPr>
        <w:t>oratio</w:t>
      </w:r>
      <w:proofErr w:type="spellEnd"/>
      <w:r w:rsidRPr="004E5305">
        <w:rPr>
          <w:i/>
        </w:rPr>
        <w:t xml:space="preserve">: </w:t>
      </w:r>
      <w:r w:rsidRPr="004E5305">
        <w:t xml:space="preserve">As questões que puseram no “caso de Portalegre” são ligeiramente diferentes das situações de </w:t>
      </w:r>
      <w:r w:rsidRPr="004E5305">
        <w:rPr>
          <w:i/>
        </w:rPr>
        <w:t>Navarra, Barcelona</w:t>
      </w:r>
      <w:r w:rsidRPr="004E5305">
        <w:t xml:space="preserve"> e </w:t>
      </w:r>
      <w:proofErr w:type="spellStart"/>
      <w:r w:rsidRPr="004E5305">
        <w:rPr>
          <w:i/>
        </w:rPr>
        <w:t>Arenys</w:t>
      </w:r>
      <w:proofErr w:type="spellEnd"/>
      <w:r w:rsidRPr="004E5305">
        <w:rPr>
          <w:i/>
        </w:rPr>
        <w:t xml:space="preserve"> de Mar</w:t>
      </w:r>
      <w:r w:rsidRPr="004E5305">
        <w:t>. Em “Portalegre” estava em causa um processo de inventário em que havia sido promovida a venda judicial da casa de família hipotecada para garantia do contrato de mutuo celebrado para financiamento da mesma, tendo o mesmo sido adjudicado pelo Banco (credor hipotecário) pelo valor de €82 250 (70% valor base – €117 500, conforme a lei processual vigente). O valor adjudicado foi insuficiente para a satisfação da divida aprovada no processo de inventário (€129 521). Após a adjudicação, veio o Banco (credor hipotecário) a considerar não saldada a divida, uma vez que o valor adjudicado (</w:t>
      </w:r>
      <w:r w:rsidRPr="004E5305">
        <w:rPr>
          <w:i/>
        </w:rPr>
        <w:t xml:space="preserve">in </w:t>
      </w:r>
      <w:proofErr w:type="spellStart"/>
      <w:r w:rsidRPr="004E5305">
        <w:rPr>
          <w:i/>
        </w:rPr>
        <w:t>casu</w:t>
      </w:r>
      <w:proofErr w:type="spellEnd"/>
      <w:r w:rsidRPr="004E5305">
        <w:rPr>
          <w:i/>
        </w:rPr>
        <w:t>, por se</w:t>
      </w:r>
      <w:r w:rsidRPr="004E5305">
        <w:t xml:space="preserve">, por €82 250) não permitia o pagamento integral da divida. </w:t>
      </w:r>
    </w:p>
  </w:footnote>
  <w:footnote w:id="74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 xml:space="preserve">Heinrich </w:t>
      </w:r>
      <w:proofErr w:type="spellStart"/>
      <w:r w:rsidRPr="0043508B">
        <w:rPr>
          <w:smallCaps/>
          <w:sz w:val="20"/>
          <w:szCs w:val="20"/>
        </w:rPr>
        <w:t>Horster</w:t>
      </w:r>
      <w:proofErr w:type="spellEnd"/>
      <w:r w:rsidRPr="0043508B">
        <w:rPr>
          <w:smallCaps/>
          <w:sz w:val="20"/>
          <w:szCs w:val="20"/>
        </w:rPr>
        <w:t xml:space="preserve">, </w:t>
      </w:r>
      <w:r w:rsidRPr="0043508B">
        <w:rPr>
          <w:i/>
          <w:sz w:val="20"/>
          <w:szCs w:val="20"/>
        </w:rPr>
        <w:t>A Parte Geral do Código Civil Português – Teoria Geral do Direito Civil</w:t>
      </w:r>
      <w:r w:rsidRPr="0043508B">
        <w:rPr>
          <w:sz w:val="20"/>
          <w:szCs w:val="20"/>
        </w:rPr>
        <w:t>, Almedina, Coimbra</w:t>
      </w:r>
      <w:r w:rsidRPr="0043508B">
        <w:rPr>
          <w:smallCaps/>
          <w:sz w:val="20"/>
          <w:szCs w:val="20"/>
        </w:rPr>
        <w:t xml:space="preserve">, 2007, pp. 278 </w:t>
      </w:r>
      <w:proofErr w:type="spellStart"/>
      <w:r w:rsidRPr="0043508B">
        <w:rPr>
          <w:sz w:val="20"/>
          <w:szCs w:val="20"/>
        </w:rPr>
        <w:t>ss</w:t>
      </w:r>
      <w:proofErr w:type="spellEnd"/>
      <w:r w:rsidRPr="0043508B">
        <w:rPr>
          <w:smallCaps/>
          <w:sz w:val="20"/>
          <w:szCs w:val="20"/>
        </w:rPr>
        <w:t xml:space="preserve">. O </w:t>
      </w:r>
      <w:r w:rsidRPr="0043508B">
        <w:rPr>
          <w:sz w:val="20"/>
          <w:szCs w:val="20"/>
        </w:rPr>
        <w:t>insigne Professor ensina que “</w:t>
      </w:r>
      <w:proofErr w:type="gramStart"/>
      <w:r w:rsidRPr="0043508B">
        <w:rPr>
          <w:sz w:val="20"/>
          <w:szCs w:val="20"/>
        </w:rPr>
        <w:t>[o</w:t>
      </w:r>
      <w:proofErr w:type="gramEnd"/>
      <w:r w:rsidRPr="0043508B">
        <w:rPr>
          <w:sz w:val="20"/>
          <w:szCs w:val="20"/>
        </w:rPr>
        <w:t xml:space="preserve">] instituto do abuso do direito representa o controle institucional da ordem jurídica quanto ao exercício dos direitos </w:t>
      </w:r>
      <w:proofErr w:type="spellStart"/>
      <w:r w:rsidRPr="0043508B">
        <w:rPr>
          <w:sz w:val="20"/>
          <w:szCs w:val="20"/>
        </w:rPr>
        <w:t>subjectivos</w:t>
      </w:r>
      <w:proofErr w:type="spellEnd"/>
      <w:r w:rsidRPr="0043508B">
        <w:rPr>
          <w:sz w:val="20"/>
          <w:szCs w:val="20"/>
        </w:rPr>
        <w:t xml:space="preserve"> privados, garantindo a autenticidade das suas funções […]. Quem age em abuso do direito invoca um poder que, formal ou aparentemente, lhe pertence, embora não tenha fundamento material” (</w:t>
      </w:r>
      <w:proofErr w:type="spellStart"/>
      <w:r w:rsidRPr="0043508B">
        <w:rPr>
          <w:i/>
          <w:sz w:val="20"/>
          <w:szCs w:val="20"/>
        </w:rPr>
        <w:t>últ</w:t>
      </w:r>
      <w:proofErr w:type="spellEnd"/>
      <w:r w:rsidRPr="0043508B">
        <w:rPr>
          <w:i/>
          <w:sz w:val="20"/>
          <w:szCs w:val="20"/>
        </w:rPr>
        <w:t>. ob. cit</w:t>
      </w:r>
      <w:r w:rsidRPr="0043508B">
        <w:rPr>
          <w:sz w:val="20"/>
          <w:szCs w:val="20"/>
        </w:rPr>
        <w:t>., pp. 281 e 282).</w:t>
      </w:r>
    </w:p>
  </w:footnote>
  <w:footnote w:id="75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r w:rsidRPr="0043508B">
        <w:rPr>
          <w:smallCaps/>
          <w:sz w:val="20"/>
          <w:szCs w:val="20"/>
        </w:rPr>
        <w:t xml:space="preserve">Lebre de freitas, </w:t>
      </w:r>
      <w:r w:rsidRPr="0043508B">
        <w:rPr>
          <w:i/>
          <w:sz w:val="20"/>
          <w:szCs w:val="20"/>
        </w:rPr>
        <w:t xml:space="preserve">A </w:t>
      </w:r>
      <w:proofErr w:type="spellStart"/>
      <w:r w:rsidRPr="0043508B">
        <w:rPr>
          <w:i/>
          <w:sz w:val="20"/>
          <w:szCs w:val="20"/>
        </w:rPr>
        <w:t>acção</w:t>
      </w:r>
      <w:proofErr w:type="spellEnd"/>
      <w:r w:rsidRPr="0043508B">
        <w:rPr>
          <w:i/>
          <w:sz w:val="20"/>
          <w:szCs w:val="20"/>
        </w:rPr>
        <w:t xml:space="preserve"> Executiva – À Luz do Código de Processo civil de 2013</w:t>
      </w:r>
      <w:r w:rsidRPr="0043508B">
        <w:rPr>
          <w:sz w:val="20"/>
          <w:szCs w:val="20"/>
        </w:rPr>
        <w:t xml:space="preserve">, 6ª ed., Coimbra Editora, Coimbra, 2014, pp. 383 </w:t>
      </w:r>
      <w:proofErr w:type="spellStart"/>
      <w:r w:rsidRPr="0043508B">
        <w:rPr>
          <w:sz w:val="20"/>
          <w:szCs w:val="20"/>
        </w:rPr>
        <w:t>ss</w:t>
      </w:r>
      <w:proofErr w:type="spellEnd"/>
      <w:r w:rsidRPr="0043508B">
        <w:rPr>
          <w:sz w:val="20"/>
          <w:szCs w:val="20"/>
        </w:rPr>
        <w:t>.</w:t>
      </w:r>
    </w:p>
  </w:footnote>
  <w:footnote w:id="76">
    <w:p w:rsidR="007F578E" w:rsidRPr="0043508B" w:rsidRDefault="007F578E" w:rsidP="0043508B">
      <w:pPr>
        <w:pStyle w:val="NoSpacing"/>
        <w:rPr>
          <w:sz w:val="20"/>
          <w:szCs w:val="20"/>
        </w:rPr>
      </w:pPr>
      <w:r w:rsidRPr="0043508B">
        <w:rPr>
          <w:rStyle w:val="FootnoteReference"/>
          <w:sz w:val="20"/>
          <w:szCs w:val="20"/>
        </w:rPr>
        <w:footnoteRef/>
      </w:r>
      <w:r w:rsidRPr="0043508B">
        <w:rPr>
          <w:sz w:val="20"/>
          <w:szCs w:val="20"/>
        </w:rPr>
        <w:t xml:space="preserve"> </w:t>
      </w:r>
      <w:proofErr w:type="spellStart"/>
      <w:r w:rsidRPr="0043508B">
        <w:rPr>
          <w:sz w:val="20"/>
          <w:szCs w:val="20"/>
        </w:rPr>
        <w:t>Actualmente</w:t>
      </w:r>
      <w:proofErr w:type="spellEnd"/>
      <w:r w:rsidRPr="0043508B">
        <w:rPr>
          <w:sz w:val="20"/>
          <w:szCs w:val="20"/>
        </w:rPr>
        <w:t xml:space="preserve"> o valor é de 85% do valor base dos bens (</w:t>
      </w:r>
      <w:proofErr w:type="spellStart"/>
      <w:r w:rsidR="00337069" w:rsidRPr="0043508B">
        <w:rPr>
          <w:sz w:val="20"/>
          <w:szCs w:val="20"/>
        </w:rPr>
        <w:t>art</w:t>
      </w:r>
      <w:proofErr w:type="spellEnd"/>
      <w:r w:rsidR="00337069" w:rsidRPr="0043508B">
        <w:rPr>
          <w:sz w:val="20"/>
          <w:szCs w:val="20"/>
        </w:rPr>
        <w:t xml:space="preserve">. </w:t>
      </w:r>
      <w:proofErr w:type="gramStart"/>
      <w:r w:rsidRPr="0043508B">
        <w:rPr>
          <w:sz w:val="20"/>
          <w:szCs w:val="20"/>
        </w:rPr>
        <w:t xml:space="preserve">816º </w:t>
      </w:r>
      <w:r w:rsidR="00337069" w:rsidRPr="0043508B">
        <w:rPr>
          <w:sz w:val="20"/>
          <w:szCs w:val="20"/>
        </w:rPr>
        <w:t xml:space="preserve"> </w:t>
      </w:r>
      <w:r w:rsidRPr="0043508B">
        <w:rPr>
          <w:sz w:val="20"/>
          <w:szCs w:val="20"/>
        </w:rPr>
        <w:t>CPC</w:t>
      </w:r>
      <w:proofErr w:type="gramEnd"/>
      <w:r w:rsidR="00337069" w:rsidRPr="0043508B">
        <w:rPr>
          <w:sz w:val="20"/>
          <w:szCs w:val="20"/>
        </w:rPr>
        <w:t xml:space="preserve"> </w:t>
      </w:r>
      <w:r w:rsidRPr="0043508B">
        <w:rPr>
          <w:sz w:val="20"/>
          <w:szCs w:val="20"/>
        </w:rPr>
        <w:t>2013); à data da sentença era 70% do valor base do bem (CPC de 1939).</w:t>
      </w:r>
    </w:p>
  </w:footnote>
  <w:footnote w:id="77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 xml:space="preserve">Isabel Menéres Campos, </w:t>
      </w:r>
      <w:r w:rsidR="00337069" w:rsidRPr="004D6F41">
        <w:rPr>
          <w:i/>
          <w:sz w:val="19"/>
          <w:szCs w:val="19"/>
        </w:rPr>
        <w:t>Comentário à (muito) falada sentença do Tribunal Judicial de Portalegre de 4 Janeiro de 2012</w:t>
      </w:r>
      <w:r w:rsidR="00337069" w:rsidRPr="004D6F41">
        <w:rPr>
          <w:sz w:val="19"/>
          <w:szCs w:val="19"/>
        </w:rPr>
        <w:t>, in Cadernos de Direito Privado, nº 38, Abril/Junho 2012</w:t>
      </w:r>
      <w:r w:rsidR="00337069">
        <w:rPr>
          <w:sz w:val="19"/>
          <w:szCs w:val="19"/>
        </w:rPr>
        <w:t>,</w:t>
      </w:r>
      <w:r w:rsidRPr="004E5305">
        <w:t xml:space="preserve"> p. 9.</w:t>
      </w:r>
    </w:p>
  </w:footnote>
  <w:footnote w:id="78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O direito, ciência </w:t>
      </w:r>
      <w:proofErr w:type="spellStart"/>
      <w:r w:rsidRPr="004E5305">
        <w:t>inexacta</w:t>
      </w:r>
      <w:proofErr w:type="spellEnd"/>
      <w:r w:rsidRPr="004E5305">
        <w:t xml:space="preserve"> por excelência, produz opiniões antagónicas. Fazendo jus à máxima – cada cabeça, sua sentença! – </w:t>
      </w:r>
      <w:proofErr w:type="gramStart"/>
      <w:r w:rsidRPr="004E5305">
        <w:rPr>
          <w:i/>
        </w:rPr>
        <w:t>vide</w:t>
      </w:r>
      <w:proofErr w:type="gramEnd"/>
      <w:r w:rsidRPr="004E5305">
        <w:t xml:space="preserve"> a opinião diametralmente oposta por </w:t>
      </w:r>
      <w:r w:rsidRPr="004E5305">
        <w:rPr>
          <w:smallCaps/>
        </w:rPr>
        <w:t xml:space="preserve">Menezes leitão: </w:t>
      </w:r>
      <w:r w:rsidRPr="004E5305">
        <w:t xml:space="preserve">“a decisão [Portalegre] tem todo o suporte legal” </w:t>
      </w:r>
      <w:r w:rsidRPr="004E5305">
        <w:rPr>
          <w:i/>
        </w:rPr>
        <w:t>in</w:t>
      </w:r>
      <w:r w:rsidRPr="004E5305">
        <w:t xml:space="preserve"> </w:t>
      </w:r>
      <w:r w:rsidRPr="004E5305">
        <w:rPr>
          <w:i/>
        </w:rPr>
        <w:t xml:space="preserve">O Impacto da Crise Financeira no Regime do Credito à Habitação… </w:t>
      </w:r>
      <w:r w:rsidRPr="004E5305">
        <w:t>p. 17</w:t>
      </w:r>
      <w:r w:rsidRPr="004E5305">
        <w:rPr>
          <w:i/>
        </w:rPr>
        <w:t>.</w:t>
      </w:r>
      <w:r w:rsidRPr="004E5305">
        <w:t xml:space="preserve"> Também não acompanhando as criticas ao tribunal, e citamos: “ao intérprete e aplicador do direito surgem novos desafios no sentido de fazer brotar a flor da justiça na terra árida da Lei”, </w:t>
      </w:r>
      <w:proofErr w:type="spellStart"/>
      <w:r w:rsidRPr="004E5305">
        <w:rPr>
          <w:i/>
        </w:rPr>
        <w:t>apud</w:t>
      </w:r>
      <w:proofErr w:type="spellEnd"/>
      <w:r w:rsidRPr="004E5305">
        <w:rPr>
          <w:i/>
        </w:rPr>
        <w:t xml:space="preserve"> </w:t>
      </w:r>
      <w:r w:rsidRPr="004E5305">
        <w:rPr>
          <w:smallCaps/>
        </w:rPr>
        <w:t>Carla Inês Brás Câmara</w:t>
      </w:r>
      <w:r w:rsidRPr="004E5305">
        <w:t xml:space="preserve">, </w:t>
      </w:r>
      <w:r w:rsidRPr="004E5305">
        <w:rPr>
          <w:i/>
        </w:rPr>
        <w:t xml:space="preserve">A Aquisição da Propriedade do Bem…, </w:t>
      </w:r>
      <w:r w:rsidRPr="004E5305">
        <w:t>p. 694.</w:t>
      </w:r>
    </w:p>
  </w:footnote>
  <w:footnote w:id="79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 xml:space="preserve">Isabel Menéres Campos, </w:t>
      </w:r>
      <w:r w:rsidRPr="004E5305">
        <w:rPr>
          <w:i/>
          <w:smallCaps/>
        </w:rPr>
        <w:t>C</w:t>
      </w:r>
      <w:r w:rsidRPr="004E5305">
        <w:rPr>
          <w:i/>
        </w:rPr>
        <w:t>omentário à (</w:t>
      </w:r>
      <w:proofErr w:type="gramStart"/>
      <w:r w:rsidRPr="004E5305">
        <w:rPr>
          <w:i/>
        </w:rPr>
        <w:t>muito)</w:t>
      </w:r>
      <w:proofErr w:type="gramEnd"/>
      <w:r w:rsidRPr="004E5305">
        <w:rPr>
          <w:i/>
        </w:rPr>
        <w:t>…,</w:t>
      </w:r>
      <w:r w:rsidRPr="004E5305">
        <w:t xml:space="preserve"> p. 10.</w:t>
      </w:r>
    </w:p>
  </w:footnote>
  <w:footnote w:id="80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i/>
        </w:rPr>
        <w:t>Ibidem</w:t>
      </w:r>
      <w:r w:rsidRPr="004E5305">
        <w:t xml:space="preserve">, pp. 9 e 10. Nesta mesma página 10, a </w:t>
      </w:r>
      <w:proofErr w:type="spellStart"/>
      <w:r w:rsidRPr="004E5305">
        <w:t>A</w:t>
      </w:r>
      <w:proofErr w:type="spellEnd"/>
      <w:r w:rsidRPr="004E5305">
        <w:t xml:space="preserve">. </w:t>
      </w:r>
      <w:proofErr w:type="spellStart"/>
      <w:r w:rsidRPr="004E5305">
        <w:t>esmiuça</w:t>
      </w:r>
      <w:proofErr w:type="spellEnd"/>
      <w:r w:rsidRPr="004E5305">
        <w:t xml:space="preserve"> os pressuposto que enformam o enriquecimento sem causa, concluindo pela sua não presença no caso. Uma vez mais assinamos, criticamente, por baixo.</w:t>
      </w:r>
    </w:p>
  </w:footnote>
  <w:footnote w:id="81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É, </w:t>
      </w:r>
      <w:proofErr w:type="spellStart"/>
      <w:r w:rsidRPr="004E5305">
        <w:rPr>
          <w:i/>
        </w:rPr>
        <w:t>inter</w:t>
      </w:r>
      <w:proofErr w:type="spellEnd"/>
      <w:r w:rsidRPr="004E5305">
        <w:rPr>
          <w:i/>
        </w:rPr>
        <w:t xml:space="preserve"> </w:t>
      </w:r>
      <w:proofErr w:type="spellStart"/>
      <w:r w:rsidRPr="004E5305">
        <w:rPr>
          <w:i/>
        </w:rPr>
        <w:t>alios</w:t>
      </w:r>
      <w:proofErr w:type="spellEnd"/>
      <w:r w:rsidRPr="004E5305">
        <w:t xml:space="preserve">, uma forma extintiva das obrigações. </w:t>
      </w:r>
      <w:r w:rsidRPr="00DB70C6">
        <w:rPr>
          <w:i/>
        </w:rPr>
        <w:t>Vide</w:t>
      </w:r>
      <w:r w:rsidRPr="004E5305">
        <w:t xml:space="preserve">, a este respeito, por ex.: </w:t>
      </w:r>
      <w:r w:rsidRPr="004E5305">
        <w:rPr>
          <w:smallCaps/>
        </w:rPr>
        <w:t>Almeida costa,</w:t>
      </w:r>
      <w:r w:rsidRPr="004E5305">
        <w:t xml:space="preserve"> </w:t>
      </w:r>
      <w:r w:rsidRPr="004E5305">
        <w:rPr>
          <w:i/>
        </w:rPr>
        <w:t xml:space="preserve">Direito das Obrigações…, </w:t>
      </w:r>
      <w:r w:rsidRPr="004E5305">
        <w:t xml:space="preserve">p. 1092 </w:t>
      </w:r>
      <w:proofErr w:type="spellStart"/>
      <w:r w:rsidRPr="004E5305">
        <w:t>ss</w:t>
      </w:r>
      <w:proofErr w:type="spellEnd"/>
      <w:r w:rsidRPr="004E5305">
        <w:rPr>
          <w:i/>
        </w:rPr>
        <w:t>.</w:t>
      </w:r>
    </w:p>
  </w:footnote>
  <w:footnote w:id="82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 xml:space="preserve">Lebre de freitas, </w:t>
      </w:r>
      <w:r w:rsidRPr="004E5305">
        <w:rPr>
          <w:i/>
        </w:rPr>
        <w:t xml:space="preserve">A </w:t>
      </w:r>
      <w:proofErr w:type="spellStart"/>
      <w:r w:rsidRPr="004E5305">
        <w:rPr>
          <w:i/>
        </w:rPr>
        <w:t>acção</w:t>
      </w:r>
      <w:proofErr w:type="spellEnd"/>
      <w:r w:rsidRPr="004E5305">
        <w:rPr>
          <w:i/>
        </w:rPr>
        <w:t xml:space="preserve"> Executiva – À Luz do Código de Processo civil de 2013</w:t>
      </w:r>
      <w:r w:rsidRPr="004E5305">
        <w:t>, 6ª ed., Coimbra Editora, Coimbra, 2014, p. 383, nota pé de página nº 8 (atribuída a Alberto dos Reis).</w:t>
      </w:r>
    </w:p>
  </w:footnote>
  <w:footnote w:id="83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Menezes Cordeiro</w:t>
      </w:r>
      <w:r w:rsidRPr="004E5305">
        <w:rPr>
          <w:i/>
        </w:rPr>
        <w:t>, Direito Bancário</w:t>
      </w:r>
      <w:r w:rsidRPr="004E5305">
        <w:t>, 5ª ed., Almedina, Coimbra, 2014, p. 677.</w:t>
      </w:r>
    </w:p>
  </w:footnote>
  <w:footnote w:id="84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i/>
        </w:rPr>
        <w:t>Ibidem</w:t>
      </w:r>
      <w:r w:rsidRPr="004E5305">
        <w:rPr>
          <w:smallCaps/>
        </w:rPr>
        <w:t xml:space="preserve">, </w:t>
      </w:r>
      <w:r w:rsidRPr="004E5305">
        <w:t>p. 667</w:t>
      </w:r>
      <w:r w:rsidRPr="004E5305">
        <w:rPr>
          <w:i/>
        </w:rPr>
        <w:t>.</w:t>
      </w:r>
    </w:p>
  </w:footnote>
  <w:footnote w:id="85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Menezes Leitão</w:t>
      </w:r>
      <w:r w:rsidRPr="004E5305">
        <w:t xml:space="preserve">, </w:t>
      </w:r>
      <w:r w:rsidRPr="004E5305">
        <w:rPr>
          <w:i/>
        </w:rPr>
        <w:t>Direito das Obrigações – Garantias em especial</w:t>
      </w:r>
      <w:r w:rsidRPr="004E5305">
        <w:t>, Vol. III</w:t>
      </w:r>
      <w:r w:rsidRPr="004E5305">
        <w:rPr>
          <w:i/>
        </w:rPr>
        <w:t xml:space="preserve">, </w:t>
      </w:r>
      <w:r w:rsidRPr="004E5305">
        <w:t xml:space="preserve">7ª ed., Almedina, 2010, p. 424. </w:t>
      </w:r>
    </w:p>
  </w:footnote>
  <w:footnote w:id="86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M</w:t>
      </w:r>
      <w:r w:rsidRPr="004E5305">
        <w:rPr>
          <w:smallCaps/>
        </w:rPr>
        <w:t>afalda</w:t>
      </w:r>
      <w:r w:rsidRPr="004E5305">
        <w:t xml:space="preserve"> </w:t>
      </w:r>
      <w:r w:rsidRPr="004E5305">
        <w:rPr>
          <w:smallCaps/>
        </w:rPr>
        <w:t>Miranda Barbosa</w:t>
      </w:r>
      <w:r w:rsidRPr="004E5305">
        <w:t xml:space="preserve">; Diogo </w:t>
      </w:r>
      <w:r w:rsidRPr="004E5305">
        <w:rPr>
          <w:smallCaps/>
        </w:rPr>
        <w:t>Duarte de Campos</w:t>
      </w:r>
      <w:r w:rsidRPr="004E5305">
        <w:rPr>
          <w:i/>
        </w:rPr>
        <w:t>, Decisão do Tribunal de Portalegre, 4 de Janeiro de 2012 (Breve Anotação)</w:t>
      </w:r>
      <w:r w:rsidRPr="004E5305">
        <w:t>, in BFD, nº88, 2012, p. 385.</w:t>
      </w:r>
    </w:p>
  </w:footnote>
  <w:footnote w:id="87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Menezes Leitão</w:t>
      </w:r>
      <w:r w:rsidRPr="004E5305">
        <w:t xml:space="preserve">, </w:t>
      </w:r>
      <w:r w:rsidRPr="004E5305">
        <w:rPr>
          <w:i/>
        </w:rPr>
        <w:t>Direito das Obrigações….,</w:t>
      </w:r>
      <w:r w:rsidRPr="004E5305">
        <w:t>p. 424.</w:t>
      </w:r>
    </w:p>
  </w:footnote>
  <w:footnote w:id="88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Isabel </w:t>
      </w:r>
      <w:r w:rsidRPr="004E5305">
        <w:rPr>
          <w:smallCaps/>
        </w:rPr>
        <w:t>Meneres Campos</w:t>
      </w:r>
      <w:r w:rsidRPr="004E5305">
        <w:t xml:space="preserve">, </w:t>
      </w:r>
      <w:r w:rsidRPr="004E5305">
        <w:rPr>
          <w:i/>
        </w:rPr>
        <w:t xml:space="preserve">Comentário à (muito </w:t>
      </w:r>
      <w:proofErr w:type="gramStart"/>
      <w:r w:rsidRPr="004E5305">
        <w:rPr>
          <w:i/>
        </w:rPr>
        <w:t>falada)</w:t>
      </w:r>
      <w:proofErr w:type="gramEnd"/>
      <w:r w:rsidRPr="004E5305">
        <w:rPr>
          <w:i/>
        </w:rPr>
        <w:t>…</w:t>
      </w:r>
      <w:r w:rsidRPr="004E5305">
        <w:t>, p. 11.</w:t>
      </w:r>
    </w:p>
  </w:footnote>
  <w:footnote w:id="89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i/>
        </w:rPr>
        <w:t>Ibidem</w:t>
      </w:r>
      <w:r w:rsidRPr="004E5305">
        <w:t>, p.11.</w:t>
      </w:r>
    </w:p>
  </w:footnote>
  <w:footnote w:id="90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 Ademais, “</w:t>
      </w:r>
      <w:proofErr w:type="gramStart"/>
      <w:r w:rsidRPr="004E5305">
        <w:t>[c</w:t>
      </w:r>
      <w:proofErr w:type="gramEnd"/>
      <w:r w:rsidRPr="004E5305">
        <w:t>]abe também dizer que os devedores, enquanto proprietários do imóvel, suportam o risco da sua desvalorização. É por isso que ao credor assiste o direito de pedir o reforço ou substituição de garantias se o imóvel diminuir de valor (</w:t>
      </w:r>
      <w:proofErr w:type="spellStart"/>
      <w:r w:rsidRPr="004E5305">
        <w:t>art</w:t>
      </w:r>
      <w:proofErr w:type="spellEnd"/>
      <w:r w:rsidRPr="004E5305">
        <w:t>. 701º CC); ou ainda exigir o seguro da coisa hipotecada para o caso de esta se perder ou ser destruída (</w:t>
      </w:r>
      <w:proofErr w:type="spellStart"/>
      <w:r w:rsidRPr="004E5305">
        <w:t>art</w:t>
      </w:r>
      <w:proofErr w:type="spellEnd"/>
      <w:r w:rsidRPr="004E5305">
        <w:t xml:space="preserve">. 702º </w:t>
      </w:r>
      <w:proofErr w:type="gramStart"/>
      <w:r w:rsidRPr="004E5305">
        <w:t>CC)</w:t>
      </w:r>
      <w:proofErr w:type="gramEnd"/>
      <w:r w:rsidRPr="004E5305">
        <w:t xml:space="preserve">” </w:t>
      </w:r>
      <w:proofErr w:type="spellStart"/>
      <w:r w:rsidRPr="004E5305">
        <w:rPr>
          <w:i/>
        </w:rPr>
        <w:t>apud</w:t>
      </w:r>
      <w:proofErr w:type="spellEnd"/>
      <w:r w:rsidRPr="004E5305">
        <w:t xml:space="preserve"> Isabel </w:t>
      </w:r>
      <w:r w:rsidRPr="004E5305">
        <w:rPr>
          <w:smallCaps/>
        </w:rPr>
        <w:t xml:space="preserve">Meneres Campos, </w:t>
      </w:r>
      <w:r w:rsidRPr="004E5305">
        <w:rPr>
          <w:i/>
        </w:rPr>
        <w:t>O Justiceiro: o estranho caso do Juiz Legislador</w:t>
      </w:r>
      <w:r w:rsidRPr="004E5305">
        <w:t xml:space="preserve">, </w:t>
      </w:r>
      <w:r w:rsidRPr="004E5305">
        <w:rPr>
          <w:i/>
        </w:rPr>
        <w:t>in</w:t>
      </w:r>
      <w:r w:rsidRPr="004E5305">
        <w:t xml:space="preserve"> </w:t>
      </w:r>
      <w:r w:rsidRPr="004E5305">
        <w:rPr>
          <w:i/>
        </w:rPr>
        <w:t xml:space="preserve">Ipso </w:t>
      </w:r>
      <w:proofErr w:type="spellStart"/>
      <w:r w:rsidRPr="004E5305">
        <w:rPr>
          <w:i/>
        </w:rPr>
        <w:t>Iure</w:t>
      </w:r>
      <w:proofErr w:type="spellEnd"/>
      <w:r w:rsidRPr="004E5305">
        <w:t xml:space="preserve"> (Conselho Distrital do Porto da Ordem dos Advogados), nº 36, Maio de 2012.</w:t>
      </w:r>
    </w:p>
  </w:footnote>
  <w:footnote w:id="91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Isabel </w:t>
      </w:r>
      <w:r w:rsidRPr="004E5305">
        <w:rPr>
          <w:smallCaps/>
        </w:rPr>
        <w:t>Meneres Campos</w:t>
      </w:r>
      <w:r w:rsidRPr="004E5305">
        <w:t xml:space="preserve">, </w:t>
      </w:r>
      <w:r w:rsidRPr="004E5305">
        <w:rPr>
          <w:i/>
        </w:rPr>
        <w:t xml:space="preserve">Comentário à (muito </w:t>
      </w:r>
      <w:proofErr w:type="gramStart"/>
      <w:r w:rsidRPr="004E5305">
        <w:rPr>
          <w:i/>
        </w:rPr>
        <w:t>falada)</w:t>
      </w:r>
      <w:proofErr w:type="gramEnd"/>
      <w:r w:rsidRPr="004E5305">
        <w:rPr>
          <w:i/>
        </w:rPr>
        <w:t>…</w:t>
      </w:r>
      <w:r w:rsidRPr="004E5305">
        <w:t>, p. 11.</w:t>
      </w:r>
    </w:p>
  </w:footnote>
  <w:footnote w:id="92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No pico da crise económica em Portugal, e no seguimento da evolução jurisprudencial vivida no país, houve lugar a várias intervenções legislativas: (i) lei 58/2012 – </w:t>
      </w:r>
      <w:r w:rsidRPr="004E5305">
        <w:rPr>
          <w:i/>
        </w:rPr>
        <w:t xml:space="preserve">Regime extraordinário de </w:t>
      </w:r>
      <w:proofErr w:type="spellStart"/>
      <w:r w:rsidRPr="004E5305">
        <w:rPr>
          <w:i/>
        </w:rPr>
        <w:t>protecção</w:t>
      </w:r>
      <w:proofErr w:type="spellEnd"/>
      <w:r w:rsidRPr="004E5305">
        <w:rPr>
          <w:i/>
        </w:rPr>
        <w:t xml:space="preserve"> aos devedores de crédito à habitação que se encontrem em situação económica muito difícil; </w:t>
      </w:r>
      <w:r w:rsidRPr="004E5305">
        <w:t>(</w:t>
      </w:r>
      <w:proofErr w:type="spellStart"/>
      <w:r w:rsidRPr="004E5305">
        <w:t>ii</w:t>
      </w:r>
      <w:proofErr w:type="spellEnd"/>
      <w:r w:rsidRPr="004E5305">
        <w:t xml:space="preserve">) a lei 59/2012 – </w:t>
      </w:r>
      <w:r w:rsidRPr="004E5305">
        <w:rPr>
          <w:i/>
        </w:rPr>
        <w:t>limitação da possibilidade de os Bancos reverem unilateralmente as condições do crédito</w:t>
      </w:r>
      <w:r w:rsidRPr="004E5305">
        <w:t>; e (</w:t>
      </w:r>
      <w:proofErr w:type="spellStart"/>
      <w:r w:rsidRPr="004E5305">
        <w:t>iii</w:t>
      </w:r>
      <w:proofErr w:type="spellEnd"/>
      <w:r w:rsidRPr="004E5305">
        <w:t>) a lei 60/2012 – que veio alterar o CPC donde resulta que a penhora dos imoveis para primeira habitação ocorre apenas quando não existirem outros bens (</w:t>
      </w:r>
      <w:proofErr w:type="spellStart"/>
      <w:r w:rsidRPr="004E5305">
        <w:t>art</w:t>
      </w:r>
      <w:proofErr w:type="spellEnd"/>
      <w:r w:rsidRPr="004E5305">
        <w:t xml:space="preserve">. 751º, nº 3 CPC). </w:t>
      </w:r>
      <w:r w:rsidRPr="004E5305">
        <w:rPr>
          <w:i/>
        </w:rPr>
        <w:t>Vide</w:t>
      </w:r>
      <w:r w:rsidRPr="004E5305">
        <w:t xml:space="preserve"> neste sentido, </w:t>
      </w:r>
      <w:r w:rsidRPr="004E5305">
        <w:rPr>
          <w:smallCaps/>
        </w:rPr>
        <w:t xml:space="preserve">Menezes Leitão, </w:t>
      </w:r>
      <w:r w:rsidRPr="004E5305">
        <w:rPr>
          <w:i/>
        </w:rPr>
        <w:t xml:space="preserve">O Impacto da Crise Financeira…, </w:t>
      </w:r>
      <w:r w:rsidRPr="004E5305">
        <w:t xml:space="preserve">p. 20 </w:t>
      </w:r>
      <w:proofErr w:type="spellStart"/>
      <w:r w:rsidRPr="004E5305">
        <w:t>ss</w:t>
      </w:r>
      <w:proofErr w:type="spellEnd"/>
      <w:r w:rsidRPr="004E5305">
        <w:rPr>
          <w:i/>
        </w:rPr>
        <w:t xml:space="preserve">. </w:t>
      </w:r>
      <w:r w:rsidRPr="004E5305">
        <w:t>Aproveitando a deixa, o mesmo A. considera, aliás, as medidas “reconhecidamente tímidas” (</w:t>
      </w:r>
      <w:r w:rsidRPr="004E5305">
        <w:rPr>
          <w:i/>
        </w:rPr>
        <w:t>ob. cit.</w:t>
      </w:r>
      <w:r w:rsidRPr="004E5305">
        <w:t xml:space="preserve">, p. 26) atendendo ao espectro nacional. Uma pequena chamada de atenção, não menos importante, para a </w:t>
      </w:r>
      <w:proofErr w:type="spellStart"/>
      <w:r w:rsidRPr="004E5305">
        <w:t>actual</w:t>
      </w:r>
      <w:proofErr w:type="spellEnd"/>
      <w:r w:rsidRPr="004E5305">
        <w:t xml:space="preserve"> </w:t>
      </w:r>
      <w:proofErr w:type="spellStart"/>
      <w:r w:rsidRPr="004E5305">
        <w:t>Directiva</w:t>
      </w:r>
      <w:proofErr w:type="spellEnd"/>
      <w:r w:rsidRPr="004E5305">
        <w:t xml:space="preserve"> 2014/17/UE que estabelece a aproximação das legislações dos vários Estado-Membros – cuida especialmente da fase pré-contratual. </w:t>
      </w:r>
    </w:p>
  </w:footnote>
  <w:footnote w:id="93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A este respeito </w:t>
      </w:r>
      <w:r w:rsidRPr="0015170E">
        <w:rPr>
          <w:i/>
        </w:rPr>
        <w:t>vide</w:t>
      </w:r>
      <w:r w:rsidRPr="004E5305">
        <w:t xml:space="preserve">, por ex.: a genial/perversa ideia que foi </w:t>
      </w:r>
      <w:r w:rsidR="0015170E">
        <w:t xml:space="preserve">a </w:t>
      </w:r>
      <w:proofErr w:type="gramStart"/>
      <w:r w:rsidR="0015170E">
        <w:t xml:space="preserve">de </w:t>
      </w:r>
      <w:r w:rsidRPr="004E5305">
        <w:t xml:space="preserve"> criarem</w:t>
      </w:r>
      <w:proofErr w:type="gramEnd"/>
      <w:r w:rsidRPr="004E5305">
        <w:t xml:space="preserve"> os </w:t>
      </w:r>
      <w:r w:rsidRPr="004E5305">
        <w:rPr>
          <w:i/>
        </w:rPr>
        <w:t>CDS –</w:t>
      </w:r>
      <w:r w:rsidRPr="004E5305">
        <w:t xml:space="preserve"> </w:t>
      </w:r>
      <w:proofErr w:type="spellStart"/>
      <w:r w:rsidRPr="004E5305">
        <w:rPr>
          <w:i/>
        </w:rPr>
        <w:t>Credit</w:t>
      </w:r>
      <w:proofErr w:type="spellEnd"/>
      <w:r w:rsidRPr="004E5305">
        <w:rPr>
          <w:i/>
        </w:rPr>
        <w:t xml:space="preserve"> </w:t>
      </w:r>
      <w:proofErr w:type="spellStart"/>
      <w:r w:rsidRPr="004E5305">
        <w:rPr>
          <w:i/>
        </w:rPr>
        <w:t>Default</w:t>
      </w:r>
      <w:proofErr w:type="spellEnd"/>
      <w:r w:rsidRPr="004E5305">
        <w:rPr>
          <w:i/>
        </w:rPr>
        <w:t xml:space="preserve"> </w:t>
      </w:r>
      <w:proofErr w:type="spellStart"/>
      <w:r w:rsidRPr="004E5305">
        <w:rPr>
          <w:i/>
        </w:rPr>
        <w:t>Swaps</w:t>
      </w:r>
      <w:proofErr w:type="spellEnd"/>
      <w:r w:rsidRPr="004E5305">
        <w:t xml:space="preserve"> – um seguro sobre os empréstimos concedidos nos </w:t>
      </w:r>
      <w:proofErr w:type="spellStart"/>
      <w:r w:rsidRPr="004E5305">
        <w:rPr>
          <w:i/>
        </w:rPr>
        <w:t>mortage</w:t>
      </w:r>
      <w:proofErr w:type="spellEnd"/>
      <w:r w:rsidRPr="004E5305">
        <w:t xml:space="preserve"> norte-americanos </w:t>
      </w:r>
      <w:proofErr w:type="spellStart"/>
      <w:r w:rsidRPr="004E5305">
        <w:rPr>
          <w:i/>
        </w:rPr>
        <w:t>apud</w:t>
      </w:r>
      <w:proofErr w:type="spellEnd"/>
      <w:r w:rsidRPr="004E5305">
        <w:t xml:space="preserve"> </w:t>
      </w:r>
      <w:r w:rsidRPr="004E5305">
        <w:rPr>
          <w:smallCaps/>
        </w:rPr>
        <w:t>Câmara, Carla Inês Brás</w:t>
      </w:r>
      <w:r w:rsidRPr="004E5305">
        <w:t xml:space="preserve">, </w:t>
      </w:r>
      <w:r w:rsidRPr="004E5305">
        <w:rPr>
          <w:i/>
        </w:rPr>
        <w:t xml:space="preserve">A Aquisição da Propriedade do Bem Hipotecado…, </w:t>
      </w:r>
      <w:r w:rsidRPr="004E5305">
        <w:t xml:space="preserve">p. 651 </w:t>
      </w:r>
      <w:proofErr w:type="spellStart"/>
      <w:r w:rsidRPr="004E5305">
        <w:t>ss</w:t>
      </w:r>
      <w:proofErr w:type="spellEnd"/>
      <w:r w:rsidRPr="004E5305">
        <w:rPr>
          <w:i/>
        </w:rPr>
        <w:t>.</w:t>
      </w:r>
      <w:r w:rsidRPr="004E5305">
        <w:t xml:space="preserve"> Num enfoque mais </w:t>
      </w:r>
      <w:r w:rsidR="0015170E">
        <w:t xml:space="preserve">propedêutico e mais </w:t>
      </w:r>
      <w:r w:rsidRPr="004E5305">
        <w:t xml:space="preserve">completo </w:t>
      </w:r>
      <w:r w:rsidRPr="004E5305">
        <w:rPr>
          <w:i/>
        </w:rPr>
        <w:t>vide</w:t>
      </w:r>
      <w:r w:rsidRPr="004E5305">
        <w:t xml:space="preserve"> </w:t>
      </w:r>
      <w:r w:rsidRPr="004E5305">
        <w:rPr>
          <w:smallCaps/>
        </w:rPr>
        <w:t>Menezes Cordeiro</w:t>
      </w:r>
      <w:r w:rsidRPr="004E5305">
        <w:t xml:space="preserve">, </w:t>
      </w:r>
      <w:r w:rsidRPr="004E5305">
        <w:rPr>
          <w:i/>
        </w:rPr>
        <w:t>Direito Bancário</w:t>
      </w:r>
      <w:r w:rsidRPr="004E5305">
        <w:t xml:space="preserve">…, p. 880 </w:t>
      </w:r>
      <w:proofErr w:type="spellStart"/>
      <w:r w:rsidRPr="004E5305">
        <w:t>ss</w:t>
      </w:r>
      <w:proofErr w:type="spellEnd"/>
      <w:r w:rsidRPr="004E5305">
        <w:t>.</w:t>
      </w:r>
    </w:p>
  </w:footnote>
  <w:footnote w:id="94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O Professor </w:t>
      </w:r>
      <w:r w:rsidR="00794AEC">
        <w:t xml:space="preserve">e civilista </w:t>
      </w:r>
      <w:r w:rsidRPr="004E5305">
        <w:rPr>
          <w:smallCaps/>
        </w:rPr>
        <w:t xml:space="preserve">Menezes Leitão </w:t>
      </w:r>
      <w:proofErr w:type="gramStart"/>
      <w:r w:rsidRPr="004E5305">
        <w:t>vinca</w:t>
      </w:r>
      <w:proofErr w:type="gramEnd"/>
      <w:r w:rsidRPr="004E5305">
        <w:rPr>
          <w:smallCaps/>
        </w:rPr>
        <w:t xml:space="preserve"> </w:t>
      </w:r>
      <w:r w:rsidRPr="004E5305">
        <w:t xml:space="preserve">bem o seu </w:t>
      </w:r>
      <w:r w:rsidRPr="004E5305">
        <w:rPr>
          <w:i/>
        </w:rPr>
        <w:t>agrado</w:t>
      </w:r>
      <w:r w:rsidRPr="004E5305">
        <w:t xml:space="preserve"> com o lampejo do juiz de Portalegre (</w:t>
      </w:r>
      <w:r w:rsidRPr="004E5305">
        <w:rPr>
          <w:i/>
        </w:rPr>
        <w:t>O Impacto da Crise Financeira no Regime do Credito à Habitação…)</w:t>
      </w:r>
      <w:r w:rsidRPr="004E5305">
        <w:t xml:space="preserve">.  </w:t>
      </w:r>
    </w:p>
  </w:footnote>
  <w:footnote w:id="95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="00794AEC" w:rsidRPr="009517E8">
        <w:rPr>
          <w:i/>
        </w:rPr>
        <w:t>Vide</w:t>
      </w:r>
      <w:r w:rsidR="00794AEC">
        <w:t xml:space="preserve"> o sempiterno </w:t>
      </w:r>
      <w:r w:rsidRPr="004E5305">
        <w:rPr>
          <w:smallCaps/>
        </w:rPr>
        <w:t xml:space="preserve">Machado, João Batista, </w:t>
      </w:r>
      <w:r w:rsidRPr="004E5305">
        <w:rPr>
          <w:i/>
        </w:rPr>
        <w:t>Introdução ao Direito e ao Discurso Legitimador</w:t>
      </w:r>
      <w:r w:rsidRPr="004E5305">
        <w:t xml:space="preserve">, Almedina, Coimbra, 2002, pp. 162 e 163. </w:t>
      </w:r>
    </w:p>
  </w:footnote>
  <w:footnote w:id="96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proofErr w:type="gramStart"/>
      <w:r w:rsidRPr="004E5305">
        <w:t>“[O</w:t>
      </w:r>
      <w:proofErr w:type="gramEnd"/>
      <w:r w:rsidRPr="004E5305">
        <w:t xml:space="preserve">] juiz, vinculado à lei e ao Direito. Não tem a faculdade de emitir uma resolução </w:t>
      </w:r>
      <w:r w:rsidRPr="004E5305">
        <w:rPr>
          <w:i/>
        </w:rPr>
        <w:t xml:space="preserve">contra </w:t>
      </w:r>
      <w:proofErr w:type="spellStart"/>
      <w:r w:rsidRPr="004E5305">
        <w:rPr>
          <w:i/>
        </w:rPr>
        <w:t>legem</w:t>
      </w:r>
      <w:proofErr w:type="spellEnd"/>
      <w:r w:rsidRPr="004E5305">
        <w:rPr>
          <w:i/>
        </w:rPr>
        <w:t xml:space="preserve">” </w:t>
      </w:r>
      <w:proofErr w:type="spellStart"/>
      <w:r w:rsidRPr="004E5305">
        <w:rPr>
          <w:i/>
        </w:rPr>
        <w:t>apud</w:t>
      </w:r>
      <w:proofErr w:type="spellEnd"/>
      <w:r w:rsidRPr="004E5305">
        <w:t xml:space="preserve"> </w:t>
      </w:r>
      <w:r w:rsidRPr="004E5305">
        <w:rPr>
          <w:smallCaps/>
        </w:rPr>
        <w:t xml:space="preserve">Karl </w:t>
      </w:r>
      <w:proofErr w:type="spellStart"/>
      <w:r w:rsidRPr="004E5305">
        <w:rPr>
          <w:smallCaps/>
        </w:rPr>
        <w:t>Larenz</w:t>
      </w:r>
      <w:proofErr w:type="spellEnd"/>
      <w:r w:rsidRPr="004E5305">
        <w:rPr>
          <w:smallCaps/>
        </w:rPr>
        <w:t xml:space="preserve">, </w:t>
      </w:r>
      <w:proofErr w:type="spellStart"/>
      <w:r w:rsidRPr="004E5305">
        <w:rPr>
          <w:i/>
        </w:rPr>
        <w:t>Metedologia</w:t>
      </w:r>
      <w:proofErr w:type="spellEnd"/>
      <w:r w:rsidRPr="004E5305">
        <w:rPr>
          <w:i/>
        </w:rPr>
        <w:t xml:space="preserve"> da </w:t>
      </w:r>
      <w:proofErr w:type="spellStart"/>
      <w:r w:rsidRPr="004E5305">
        <w:rPr>
          <w:i/>
        </w:rPr>
        <w:t>Ciencia</w:t>
      </w:r>
      <w:proofErr w:type="spellEnd"/>
      <w:r w:rsidRPr="004E5305">
        <w:rPr>
          <w:i/>
        </w:rPr>
        <w:t xml:space="preserve"> do Direito</w:t>
      </w:r>
      <w:r w:rsidRPr="004E5305">
        <w:t xml:space="preserve">, 7ª ed., Lisboa, Fundação </w:t>
      </w:r>
      <w:proofErr w:type="spellStart"/>
      <w:r w:rsidRPr="004E5305">
        <w:t>Caloust</w:t>
      </w:r>
      <w:proofErr w:type="spellEnd"/>
      <w:r w:rsidRPr="004E5305">
        <w:t xml:space="preserve"> Gulbenkian, 2014, p. 609.  </w:t>
      </w:r>
    </w:p>
  </w:footnote>
  <w:footnote w:id="97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Cabe ao Estado, dentro do financeiramente possível, acudir quem submerge nestas infelizes situações.</w:t>
      </w:r>
    </w:p>
  </w:footnote>
  <w:footnote w:id="98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 xml:space="preserve">Machado, João Batista, </w:t>
      </w:r>
      <w:r w:rsidRPr="004E5305">
        <w:rPr>
          <w:i/>
        </w:rPr>
        <w:t xml:space="preserve">Introdução ao Direito…, </w:t>
      </w:r>
      <w:r w:rsidRPr="004E5305">
        <w:t>p. 56.</w:t>
      </w:r>
    </w:p>
  </w:footnote>
  <w:footnote w:id="99">
    <w:p w:rsidR="007F578E" w:rsidRPr="004E5305" w:rsidRDefault="007F578E" w:rsidP="004E5305">
      <w:pPr>
        <w:pStyle w:val="FootnoteText"/>
        <w:jc w:val="both"/>
      </w:pPr>
      <w:r w:rsidRPr="004E5305">
        <w:rPr>
          <w:rStyle w:val="FootnoteReference"/>
        </w:rPr>
        <w:footnoteRef/>
      </w:r>
      <w:r w:rsidRPr="004E5305">
        <w:t xml:space="preserve"> </w:t>
      </w:r>
      <w:r w:rsidRPr="004E5305">
        <w:rPr>
          <w:smallCaps/>
        </w:rPr>
        <w:t>Isabel Menéres Campos,</w:t>
      </w:r>
      <w:r w:rsidRPr="004E5305">
        <w:rPr>
          <w:i/>
        </w:rPr>
        <w:t xml:space="preserve"> O Justiceiro: o estranho caso do Juiz Legislador…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91"/>
    <w:rsid w:val="00010170"/>
    <w:rsid w:val="00012D6F"/>
    <w:rsid w:val="0001709E"/>
    <w:rsid w:val="0003649E"/>
    <w:rsid w:val="0004132E"/>
    <w:rsid w:val="00041E3C"/>
    <w:rsid w:val="000557E5"/>
    <w:rsid w:val="0006319E"/>
    <w:rsid w:val="00070EB0"/>
    <w:rsid w:val="000846A9"/>
    <w:rsid w:val="00085230"/>
    <w:rsid w:val="000866DC"/>
    <w:rsid w:val="00086EF4"/>
    <w:rsid w:val="00087934"/>
    <w:rsid w:val="0009018E"/>
    <w:rsid w:val="0009606A"/>
    <w:rsid w:val="00097494"/>
    <w:rsid w:val="000A6083"/>
    <w:rsid w:val="000C235A"/>
    <w:rsid w:val="000E17FF"/>
    <w:rsid w:val="000E2958"/>
    <w:rsid w:val="000E46F5"/>
    <w:rsid w:val="000F1AF1"/>
    <w:rsid w:val="000F71AE"/>
    <w:rsid w:val="0010268D"/>
    <w:rsid w:val="00115436"/>
    <w:rsid w:val="00121AAB"/>
    <w:rsid w:val="001222D4"/>
    <w:rsid w:val="0014369F"/>
    <w:rsid w:val="0015170E"/>
    <w:rsid w:val="00154710"/>
    <w:rsid w:val="00154957"/>
    <w:rsid w:val="00161327"/>
    <w:rsid w:val="00166873"/>
    <w:rsid w:val="001775F8"/>
    <w:rsid w:val="00183DF2"/>
    <w:rsid w:val="00187185"/>
    <w:rsid w:val="001914E4"/>
    <w:rsid w:val="00193C6E"/>
    <w:rsid w:val="001A495F"/>
    <w:rsid w:val="001B0219"/>
    <w:rsid w:val="001C15C2"/>
    <w:rsid w:val="001D23F1"/>
    <w:rsid w:val="001E2F24"/>
    <w:rsid w:val="001E4490"/>
    <w:rsid w:val="00215170"/>
    <w:rsid w:val="00217D9B"/>
    <w:rsid w:val="0022609E"/>
    <w:rsid w:val="0023364B"/>
    <w:rsid w:val="002435CB"/>
    <w:rsid w:val="00267B26"/>
    <w:rsid w:val="00272A09"/>
    <w:rsid w:val="00297323"/>
    <w:rsid w:val="002A2042"/>
    <w:rsid w:val="002A43B5"/>
    <w:rsid w:val="002C3611"/>
    <w:rsid w:val="002D0C96"/>
    <w:rsid w:val="002D1523"/>
    <w:rsid w:val="002D38D3"/>
    <w:rsid w:val="002E65D6"/>
    <w:rsid w:val="002F2916"/>
    <w:rsid w:val="00303E14"/>
    <w:rsid w:val="003040D4"/>
    <w:rsid w:val="003151D5"/>
    <w:rsid w:val="00337069"/>
    <w:rsid w:val="00337ACC"/>
    <w:rsid w:val="00345AB9"/>
    <w:rsid w:val="003510AE"/>
    <w:rsid w:val="00356116"/>
    <w:rsid w:val="00393091"/>
    <w:rsid w:val="00394042"/>
    <w:rsid w:val="003A4921"/>
    <w:rsid w:val="003C5B97"/>
    <w:rsid w:val="003E454D"/>
    <w:rsid w:val="004008DF"/>
    <w:rsid w:val="00413A1C"/>
    <w:rsid w:val="00416B84"/>
    <w:rsid w:val="00433631"/>
    <w:rsid w:val="004337F7"/>
    <w:rsid w:val="0043508B"/>
    <w:rsid w:val="004A194F"/>
    <w:rsid w:val="004A3BB1"/>
    <w:rsid w:val="004A3C3F"/>
    <w:rsid w:val="004A76CA"/>
    <w:rsid w:val="004C0F3F"/>
    <w:rsid w:val="004D6F41"/>
    <w:rsid w:val="004E1190"/>
    <w:rsid w:val="004E17E1"/>
    <w:rsid w:val="004E5305"/>
    <w:rsid w:val="004E642A"/>
    <w:rsid w:val="004F0296"/>
    <w:rsid w:val="004F3390"/>
    <w:rsid w:val="004F4ED5"/>
    <w:rsid w:val="004F5351"/>
    <w:rsid w:val="00502FF4"/>
    <w:rsid w:val="0051426A"/>
    <w:rsid w:val="00515861"/>
    <w:rsid w:val="005205E0"/>
    <w:rsid w:val="0054515C"/>
    <w:rsid w:val="00553660"/>
    <w:rsid w:val="00563784"/>
    <w:rsid w:val="00590722"/>
    <w:rsid w:val="005969FD"/>
    <w:rsid w:val="005A3697"/>
    <w:rsid w:val="005B0D4C"/>
    <w:rsid w:val="005C7FA3"/>
    <w:rsid w:val="005D0141"/>
    <w:rsid w:val="005D4192"/>
    <w:rsid w:val="005E04FA"/>
    <w:rsid w:val="005E3DB5"/>
    <w:rsid w:val="005E425F"/>
    <w:rsid w:val="005F271F"/>
    <w:rsid w:val="00611A44"/>
    <w:rsid w:val="006412E6"/>
    <w:rsid w:val="006461FC"/>
    <w:rsid w:val="00654E24"/>
    <w:rsid w:val="006649A8"/>
    <w:rsid w:val="00682478"/>
    <w:rsid w:val="0069346A"/>
    <w:rsid w:val="00697377"/>
    <w:rsid w:val="00697808"/>
    <w:rsid w:val="006978E7"/>
    <w:rsid w:val="006A0FE0"/>
    <w:rsid w:val="006B2DF4"/>
    <w:rsid w:val="006B346C"/>
    <w:rsid w:val="006B40E7"/>
    <w:rsid w:val="006C0324"/>
    <w:rsid w:val="006C07AC"/>
    <w:rsid w:val="006D280B"/>
    <w:rsid w:val="006D2F4E"/>
    <w:rsid w:val="006D4A18"/>
    <w:rsid w:val="006D5B09"/>
    <w:rsid w:val="006E0E04"/>
    <w:rsid w:val="006E2EEF"/>
    <w:rsid w:val="006F60B0"/>
    <w:rsid w:val="006F76B0"/>
    <w:rsid w:val="00707DE5"/>
    <w:rsid w:val="00712B37"/>
    <w:rsid w:val="00713368"/>
    <w:rsid w:val="007315AE"/>
    <w:rsid w:val="00735390"/>
    <w:rsid w:val="00744C23"/>
    <w:rsid w:val="007473F2"/>
    <w:rsid w:val="007524CA"/>
    <w:rsid w:val="00753B65"/>
    <w:rsid w:val="00754F32"/>
    <w:rsid w:val="00765E57"/>
    <w:rsid w:val="00770734"/>
    <w:rsid w:val="00777826"/>
    <w:rsid w:val="0078524A"/>
    <w:rsid w:val="00787D95"/>
    <w:rsid w:val="00790DBF"/>
    <w:rsid w:val="00794AEC"/>
    <w:rsid w:val="007A1E44"/>
    <w:rsid w:val="007B07B9"/>
    <w:rsid w:val="007C5877"/>
    <w:rsid w:val="007D4F4A"/>
    <w:rsid w:val="007F1CC5"/>
    <w:rsid w:val="007F2FA8"/>
    <w:rsid w:val="007F578E"/>
    <w:rsid w:val="008052E8"/>
    <w:rsid w:val="0083204F"/>
    <w:rsid w:val="00834F04"/>
    <w:rsid w:val="00837BED"/>
    <w:rsid w:val="0084165A"/>
    <w:rsid w:val="008468DC"/>
    <w:rsid w:val="008523F0"/>
    <w:rsid w:val="0085304B"/>
    <w:rsid w:val="008540B7"/>
    <w:rsid w:val="00880E1C"/>
    <w:rsid w:val="00886D02"/>
    <w:rsid w:val="00895592"/>
    <w:rsid w:val="008A2F4D"/>
    <w:rsid w:val="008A46B9"/>
    <w:rsid w:val="008A47B2"/>
    <w:rsid w:val="008A7AB0"/>
    <w:rsid w:val="008B3BB2"/>
    <w:rsid w:val="008B3E39"/>
    <w:rsid w:val="008C1B84"/>
    <w:rsid w:val="008C1CED"/>
    <w:rsid w:val="008F7002"/>
    <w:rsid w:val="00925C49"/>
    <w:rsid w:val="009276F7"/>
    <w:rsid w:val="00934739"/>
    <w:rsid w:val="00946A02"/>
    <w:rsid w:val="009517E8"/>
    <w:rsid w:val="00955B2E"/>
    <w:rsid w:val="00960209"/>
    <w:rsid w:val="009613C0"/>
    <w:rsid w:val="00973B70"/>
    <w:rsid w:val="00973D6B"/>
    <w:rsid w:val="00994FAA"/>
    <w:rsid w:val="009A112F"/>
    <w:rsid w:val="009C13DB"/>
    <w:rsid w:val="009C28DB"/>
    <w:rsid w:val="009C6074"/>
    <w:rsid w:val="009E0998"/>
    <w:rsid w:val="009F082F"/>
    <w:rsid w:val="009F20FB"/>
    <w:rsid w:val="00A1439B"/>
    <w:rsid w:val="00A24384"/>
    <w:rsid w:val="00A45B92"/>
    <w:rsid w:val="00A47789"/>
    <w:rsid w:val="00A50857"/>
    <w:rsid w:val="00A64351"/>
    <w:rsid w:val="00AA21CA"/>
    <w:rsid w:val="00AD096F"/>
    <w:rsid w:val="00AD27A5"/>
    <w:rsid w:val="00AD6DB8"/>
    <w:rsid w:val="00AE0FDC"/>
    <w:rsid w:val="00AE386B"/>
    <w:rsid w:val="00B13056"/>
    <w:rsid w:val="00B242B0"/>
    <w:rsid w:val="00B32F3B"/>
    <w:rsid w:val="00B359D4"/>
    <w:rsid w:val="00B61743"/>
    <w:rsid w:val="00B70B2A"/>
    <w:rsid w:val="00B73CE6"/>
    <w:rsid w:val="00B7590A"/>
    <w:rsid w:val="00B8737E"/>
    <w:rsid w:val="00B909EF"/>
    <w:rsid w:val="00B96BCD"/>
    <w:rsid w:val="00BA0F8E"/>
    <w:rsid w:val="00BA7D55"/>
    <w:rsid w:val="00BB7DB0"/>
    <w:rsid w:val="00BC3511"/>
    <w:rsid w:val="00BC37B1"/>
    <w:rsid w:val="00BD3443"/>
    <w:rsid w:val="00BD558A"/>
    <w:rsid w:val="00BE218E"/>
    <w:rsid w:val="00BF0A7D"/>
    <w:rsid w:val="00C05266"/>
    <w:rsid w:val="00C13FD8"/>
    <w:rsid w:val="00C2297E"/>
    <w:rsid w:val="00C35B27"/>
    <w:rsid w:val="00C434EE"/>
    <w:rsid w:val="00C675CE"/>
    <w:rsid w:val="00CA4A1C"/>
    <w:rsid w:val="00CA7734"/>
    <w:rsid w:val="00CA7DE4"/>
    <w:rsid w:val="00CC230B"/>
    <w:rsid w:val="00CC241B"/>
    <w:rsid w:val="00CE6626"/>
    <w:rsid w:val="00CF3F6D"/>
    <w:rsid w:val="00CF7B25"/>
    <w:rsid w:val="00D00373"/>
    <w:rsid w:val="00D0678C"/>
    <w:rsid w:val="00D55B6D"/>
    <w:rsid w:val="00D57BDE"/>
    <w:rsid w:val="00D61D38"/>
    <w:rsid w:val="00D64E0D"/>
    <w:rsid w:val="00D72D49"/>
    <w:rsid w:val="00D734E8"/>
    <w:rsid w:val="00DA0900"/>
    <w:rsid w:val="00DA41DE"/>
    <w:rsid w:val="00DB03ED"/>
    <w:rsid w:val="00DB0480"/>
    <w:rsid w:val="00DB293E"/>
    <w:rsid w:val="00DB305D"/>
    <w:rsid w:val="00DB70C6"/>
    <w:rsid w:val="00DC1502"/>
    <w:rsid w:val="00DD02EA"/>
    <w:rsid w:val="00DD58B1"/>
    <w:rsid w:val="00DE12B5"/>
    <w:rsid w:val="00DE331A"/>
    <w:rsid w:val="00E17F7F"/>
    <w:rsid w:val="00E220FB"/>
    <w:rsid w:val="00E26753"/>
    <w:rsid w:val="00E30859"/>
    <w:rsid w:val="00E43827"/>
    <w:rsid w:val="00E60249"/>
    <w:rsid w:val="00E62E12"/>
    <w:rsid w:val="00E76F47"/>
    <w:rsid w:val="00E82E18"/>
    <w:rsid w:val="00E86EEA"/>
    <w:rsid w:val="00E87D4C"/>
    <w:rsid w:val="00E87DD9"/>
    <w:rsid w:val="00EA0ADF"/>
    <w:rsid w:val="00EA72B2"/>
    <w:rsid w:val="00EC171F"/>
    <w:rsid w:val="00ED2ABC"/>
    <w:rsid w:val="00ED352F"/>
    <w:rsid w:val="00EE06CB"/>
    <w:rsid w:val="00EF511F"/>
    <w:rsid w:val="00F011C1"/>
    <w:rsid w:val="00F2388A"/>
    <w:rsid w:val="00F277A8"/>
    <w:rsid w:val="00F32532"/>
    <w:rsid w:val="00F33DE7"/>
    <w:rsid w:val="00F41BDE"/>
    <w:rsid w:val="00F424F0"/>
    <w:rsid w:val="00F47AD7"/>
    <w:rsid w:val="00F50AED"/>
    <w:rsid w:val="00F53F0F"/>
    <w:rsid w:val="00F549D9"/>
    <w:rsid w:val="00F70C07"/>
    <w:rsid w:val="00F74FEB"/>
    <w:rsid w:val="00F84FE8"/>
    <w:rsid w:val="00F93F3F"/>
    <w:rsid w:val="00F95F53"/>
    <w:rsid w:val="00F96868"/>
    <w:rsid w:val="00FA0A37"/>
    <w:rsid w:val="00FB5188"/>
    <w:rsid w:val="00FB714A"/>
    <w:rsid w:val="00FD3E6A"/>
    <w:rsid w:val="00FE2FAF"/>
    <w:rsid w:val="00FE3E95"/>
    <w:rsid w:val="00FF40BD"/>
    <w:rsid w:val="00FF4CC3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AC0A7-E782-49B8-898A-D8E5DA0D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2E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E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2E18"/>
    <w:rPr>
      <w:vertAlign w:val="superscript"/>
    </w:rPr>
  </w:style>
  <w:style w:type="paragraph" w:styleId="NoSpacing">
    <w:name w:val="No Spacing"/>
    <w:uiPriority w:val="1"/>
    <w:qFormat/>
    <w:rsid w:val="00E82E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1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3364B"/>
    <w:rPr>
      <w:b/>
      <w:bCs/>
      <w:i w:val="0"/>
      <w:iCs w:val="0"/>
    </w:rPr>
  </w:style>
  <w:style w:type="character" w:customStyle="1" w:styleId="st1">
    <w:name w:val="st1"/>
    <w:basedOn w:val="DefaultParagraphFont"/>
    <w:rsid w:val="0023364B"/>
  </w:style>
  <w:style w:type="character" w:styleId="Hyperlink">
    <w:name w:val="Hyperlink"/>
    <w:basedOn w:val="DefaultParagraphFont"/>
    <w:uiPriority w:val="99"/>
    <w:unhideWhenUsed/>
    <w:rsid w:val="00F277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D49"/>
  </w:style>
  <w:style w:type="paragraph" w:styleId="Footer">
    <w:name w:val="footer"/>
    <w:basedOn w:val="Normal"/>
    <w:link w:val="FooterChar"/>
    <w:uiPriority w:val="99"/>
    <w:unhideWhenUsed/>
    <w:rsid w:val="00D72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D49"/>
  </w:style>
  <w:style w:type="character" w:customStyle="1" w:styleId="hps">
    <w:name w:val="hps"/>
    <w:basedOn w:val="DefaultParagraphFont"/>
    <w:rsid w:val="004F3390"/>
  </w:style>
  <w:style w:type="character" w:customStyle="1" w:styleId="shorttext">
    <w:name w:val="short_text"/>
    <w:basedOn w:val="DefaultParagraphFont"/>
    <w:rsid w:val="000A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erbis.pt/2012/ficheiros/doc/tribunalportalegre_creditohipotecario.pdf" TargetMode="External"/><Relationship Id="rId2" Type="http://schemas.openxmlformats.org/officeDocument/2006/relationships/hyperlink" Target="http://www.dgsi.pt" TargetMode="External"/><Relationship Id="rId1" Type="http://schemas.openxmlformats.org/officeDocument/2006/relationships/hyperlink" Target="http://www.dgsi.pt" TargetMode="External"/><Relationship Id="rId5" Type="http://schemas.openxmlformats.org/officeDocument/2006/relationships/hyperlink" Target="https://www.boe.es/buscar/act.php?id=BOE-A-2000-323" TargetMode="External"/><Relationship Id="rId4" Type="http://schemas.openxmlformats.org/officeDocument/2006/relationships/hyperlink" Target="https://www.boe.es/buscar/act.php?id=BOE-A-1946-245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F862-D4CE-49BE-9B5F-C93E4F6B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6010</Words>
  <Characters>32456</Characters>
  <Application>Microsoft Office Word</Application>
  <DocSecurity>0</DocSecurity>
  <Lines>270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Fernandes</dc:creator>
  <cp:lastModifiedBy>MMC</cp:lastModifiedBy>
  <cp:revision>3</cp:revision>
  <dcterms:created xsi:type="dcterms:W3CDTF">2015-11-19T13:24:00Z</dcterms:created>
  <dcterms:modified xsi:type="dcterms:W3CDTF">2015-11-19T13:24:00Z</dcterms:modified>
</cp:coreProperties>
</file>