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38C7" w:rsidRPr="00E11B3D" w:rsidRDefault="00AB19B5" w:rsidP="00565A24">
      <w:pPr>
        <w:pStyle w:val="SemEspaamento"/>
        <w:jc w:val="right"/>
        <w:rPr>
          <w:rFonts w:cs="Times New Roman"/>
          <w:noProof/>
          <w:lang w:val="en"/>
        </w:rPr>
      </w:pPr>
      <w:r w:rsidRPr="00E11B3D">
        <w:rPr>
          <w:noProof/>
          <w:lang w:eastAsia="pt-PT"/>
        </w:rPr>
        <w:drawing>
          <wp:inline distT="0" distB="0" distL="0" distR="0" wp14:anchorId="4FE506BF" wp14:editId="2040AE92">
            <wp:extent cx="2055495" cy="549275"/>
            <wp:effectExtent l="0" t="0" r="1905" b="3175"/>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5495" cy="549275"/>
                    </a:xfrm>
                    <a:prstGeom prst="rect">
                      <a:avLst/>
                    </a:prstGeom>
                  </pic:spPr>
                </pic:pic>
              </a:graphicData>
            </a:graphic>
          </wp:inline>
        </w:drawing>
      </w:r>
    </w:p>
    <w:p w:rsidR="002538C7" w:rsidRPr="00E11B3D" w:rsidRDefault="002538C7" w:rsidP="002538C7">
      <w:pPr>
        <w:spacing w:before="120" w:after="120" w:line="360" w:lineRule="auto"/>
        <w:rPr>
          <w:rFonts w:cs="Times New Roman"/>
          <w:b/>
          <w:noProof/>
          <w:lang w:val="en"/>
        </w:rPr>
      </w:pPr>
    </w:p>
    <w:p w:rsidR="002538C7" w:rsidRPr="00E11B3D" w:rsidRDefault="002538C7" w:rsidP="002538C7">
      <w:pPr>
        <w:spacing w:before="120" w:after="120" w:line="360" w:lineRule="auto"/>
        <w:rPr>
          <w:rFonts w:cs="Times New Roman"/>
          <w:b/>
          <w:noProof/>
          <w:lang w:val="en"/>
        </w:rPr>
      </w:pPr>
    </w:p>
    <w:p w:rsidR="002538C7" w:rsidRPr="00E11B3D" w:rsidRDefault="002538C7" w:rsidP="002538C7">
      <w:pPr>
        <w:spacing w:before="120" w:after="120" w:line="360" w:lineRule="auto"/>
        <w:rPr>
          <w:rFonts w:cs="Times New Roman"/>
          <w:b/>
          <w:noProof/>
          <w:lang w:val="en"/>
        </w:rPr>
      </w:pPr>
    </w:p>
    <w:tbl>
      <w:tblPr>
        <w:tblStyle w:val="Tabelacomgrelha"/>
        <w:tblW w:w="44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tblGrid>
      <w:tr w:rsidR="00AB19B5" w:rsidRPr="00E11B3D" w:rsidTr="00AB19B5">
        <w:trPr>
          <w:trHeight w:val="375"/>
          <w:jc w:val="right"/>
        </w:trPr>
        <w:tc>
          <w:tcPr>
            <w:tcW w:w="4460" w:type="dxa"/>
            <w:shd w:val="clear" w:color="auto" w:fill="F2F2F2" w:themeFill="background1" w:themeFillShade="F2"/>
            <w:vAlign w:val="center"/>
          </w:tcPr>
          <w:p w:rsidR="00AB19B5" w:rsidRPr="00E11B3D" w:rsidRDefault="00AB19B5">
            <w:pPr>
              <w:jc w:val="right"/>
            </w:pPr>
          </w:p>
          <w:p w:rsidR="00AB19B5" w:rsidRPr="00E11B3D" w:rsidRDefault="00AB19B5">
            <w:pPr>
              <w:jc w:val="both"/>
            </w:pPr>
          </w:p>
          <w:p w:rsidR="00AB19B5" w:rsidRPr="00E11B3D" w:rsidRDefault="00AB19B5">
            <w:pPr>
              <w:jc w:val="both"/>
            </w:pPr>
            <w:proofErr w:type="spellStart"/>
            <w:r w:rsidRPr="00E11B3D">
              <w:t>Millenium</w:t>
            </w:r>
            <w:proofErr w:type="spellEnd"/>
            <w:r w:rsidRPr="00E11B3D">
              <w:t xml:space="preserve">, </w:t>
            </w:r>
            <w:r w:rsidR="003D2E23" w:rsidRPr="00E11B3D">
              <w:t>(</w:t>
            </w:r>
            <w:r w:rsidRPr="00E11B3D">
              <w:t xml:space="preserve">), </w:t>
            </w:r>
          </w:p>
          <w:p w:rsidR="00AB19B5" w:rsidRPr="00E11B3D" w:rsidRDefault="00AB19B5">
            <w:pPr>
              <w:jc w:val="both"/>
            </w:pPr>
          </w:p>
          <w:p w:rsidR="00AB19B5" w:rsidRPr="00E11B3D" w:rsidRDefault="00AB19B5">
            <w:pPr>
              <w:jc w:val="both"/>
              <w:rPr>
                <w:lang w:val="en-US"/>
              </w:rPr>
            </w:pPr>
          </w:p>
        </w:tc>
      </w:tr>
    </w:tbl>
    <w:p w:rsidR="00AC25B4" w:rsidRPr="00E11B3D" w:rsidRDefault="00AC25B4" w:rsidP="00AC25B4">
      <w:pPr>
        <w:spacing w:after="0" w:line="240" w:lineRule="auto"/>
        <w:jc w:val="both"/>
        <w:rPr>
          <w:rFonts w:ascii="Times New Roman" w:hAnsi="Times New Roman" w:cs="Times New Roman"/>
          <w:b/>
        </w:rPr>
      </w:pPr>
    </w:p>
    <w:p w:rsidR="00565A24" w:rsidRPr="00E11B3D" w:rsidRDefault="00565A24" w:rsidP="00AC25B4">
      <w:pPr>
        <w:pStyle w:val="Cabealho2"/>
        <w:spacing w:line="240" w:lineRule="auto"/>
        <w:jc w:val="center"/>
        <w:rPr>
          <w:rFonts w:ascii="Times New Roman" w:hAnsi="Times New Roman" w:cs="Times New Roman"/>
          <w:sz w:val="22"/>
          <w:szCs w:val="22"/>
        </w:rPr>
      </w:pPr>
    </w:p>
    <w:p w:rsidR="00AC25B4" w:rsidRPr="00E11B3D" w:rsidRDefault="00AC25B4" w:rsidP="00AC25B4">
      <w:pPr>
        <w:pStyle w:val="Cabealho2"/>
        <w:spacing w:line="240" w:lineRule="auto"/>
        <w:jc w:val="center"/>
        <w:rPr>
          <w:rFonts w:ascii="Times New Roman" w:hAnsi="Times New Roman" w:cs="Times New Roman"/>
          <w:sz w:val="22"/>
          <w:szCs w:val="22"/>
        </w:rPr>
      </w:pPr>
      <w:r w:rsidRPr="00E11B3D">
        <w:rPr>
          <w:rFonts w:ascii="Times New Roman" w:hAnsi="Times New Roman" w:cs="Times New Roman"/>
          <w:sz w:val="22"/>
          <w:szCs w:val="22"/>
        </w:rPr>
        <w:t>ORIGINAL ARTICLE</w:t>
      </w:r>
    </w:p>
    <w:p w:rsidR="002538C7" w:rsidRDefault="002538C7" w:rsidP="00EF4154">
      <w:pPr>
        <w:spacing w:before="120" w:after="120" w:line="360" w:lineRule="auto"/>
        <w:ind w:left="284"/>
        <w:rPr>
          <w:rFonts w:cs="Times New Roman"/>
          <w:b/>
          <w:noProof/>
        </w:rPr>
      </w:pPr>
    </w:p>
    <w:p w:rsidR="00197639" w:rsidRPr="00E11B3D" w:rsidRDefault="00197639" w:rsidP="00EF4154">
      <w:pPr>
        <w:spacing w:before="120" w:after="120" w:line="360" w:lineRule="auto"/>
        <w:ind w:left="284"/>
        <w:rPr>
          <w:rFonts w:cs="Times New Roman"/>
          <w:b/>
          <w:noProof/>
        </w:rPr>
      </w:pPr>
    </w:p>
    <w:p w:rsidR="00684F82" w:rsidRPr="005441BB" w:rsidRDefault="00684F82" w:rsidP="00EF4154">
      <w:pPr>
        <w:spacing w:after="0" w:line="360" w:lineRule="auto"/>
        <w:ind w:left="284"/>
        <w:rPr>
          <w:rFonts w:eastAsia="Calibri" w:cstheme="minorHAnsi"/>
          <w:b/>
          <w:sz w:val="20"/>
          <w:szCs w:val="20"/>
        </w:rPr>
      </w:pPr>
      <w:r w:rsidRPr="005441BB">
        <w:rPr>
          <w:rFonts w:eastAsia="Calibri" w:cstheme="minorHAnsi"/>
          <w:b/>
          <w:sz w:val="20"/>
          <w:szCs w:val="20"/>
        </w:rPr>
        <w:t>A perceção da qualidade de vida em pessoas com dependência de drogas</w:t>
      </w:r>
    </w:p>
    <w:p w:rsidR="00684F82" w:rsidRPr="005441BB" w:rsidRDefault="00684F82" w:rsidP="00EF4154">
      <w:pPr>
        <w:spacing w:after="0" w:line="360" w:lineRule="auto"/>
        <w:ind w:left="284"/>
        <w:rPr>
          <w:rFonts w:eastAsia="Calibri" w:cstheme="minorHAnsi"/>
          <w:b/>
          <w:sz w:val="20"/>
          <w:szCs w:val="20"/>
        </w:rPr>
      </w:pPr>
    </w:p>
    <w:p w:rsidR="00684F82" w:rsidRPr="005441BB" w:rsidRDefault="00684F82" w:rsidP="00EF4154">
      <w:pPr>
        <w:spacing w:after="0" w:line="360" w:lineRule="auto"/>
        <w:ind w:left="284"/>
        <w:rPr>
          <w:rFonts w:eastAsia="Calibri" w:cstheme="minorHAnsi"/>
          <w:b/>
          <w:sz w:val="20"/>
          <w:szCs w:val="20"/>
          <w:lang w:val="en-US"/>
        </w:rPr>
      </w:pPr>
      <w:r w:rsidRPr="005441BB">
        <w:rPr>
          <w:rFonts w:eastAsia="Calibri" w:cstheme="minorHAnsi"/>
          <w:b/>
          <w:sz w:val="20"/>
          <w:szCs w:val="20"/>
          <w:lang w:val="en-US"/>
        </w:rPr>
        <w:t>Perception of quality of life of people with drug dependence</w:t>
      </w:r>
    </w:p>
    <w:p w:rsidR="00684F82" w:rsidRPr="005441BB" w:rsidRDefault="00684F82" w:rsidP="00EF4154">
      <w:pPr>
        <w:spacing w:after="0" w:line="360" w:lineRule="auto"/>
        <w:ind w:left="284"/>
        <w:rPr>
          <w:rFonts w:eastAsia="Calibri" w:cstheme="minorHAnsi"/>
          <w:b/>
          <w:sz w:val="20"/>
          <w:szCs w:val="20"/>
          <w:lang w:val="en-US"/>
        </w:rPr>
      </w:pPr>
    </w:p>
    <w:p w:rsidR="003C4FCB" w:rsidRPr="005441BB" w:rsidRDefault="00684F82" w:rsidP="00EF4154">
      <w:pPr>
        <w:spacing w:after="0" w:line="360" w:lineRule="auto"/>
        <w:ind w:left="284"/>
        <w:rPr>
          <w:rFonts w:eastAsia="Calibri" w:cstheme="minorHAnsi"/>
          <w:sz w:val="20"/>
          <w:szCs w:val="20"/>
        </w:rPr>
      </w:pPr>
      <w:r w:rsidRPr="005441BB">
        <w:rPr>
          <w:rFonts w:eastAsia="Calibri" w:cstheme="minorHAnsi"/>
          <w:b/>
          <w:sz w:val="20"/>
          <w:szCs w:val="20"/>
        </w:rPr>
        <w:t xml:space="preserve">La </w:t>
      </w:r>
      <w:proofErr w:type="spellStart"/>
      <w:r w:rsidRPr="005441BB">
        <w:rPr>
          <w:rFonts w:eastAsia="Calibri" w:cstheme="minorHAnsi"/>
          <w:b/>
          <w:sz w:val="20"/>
          <w:szCs w:val="20"/>
        </w:rPr>
        <w:t>percepción</w:t>
      </w:r>
      <w:proofErr w:type="spellEnd"/>
      <w:r w:rsidRPr="005441BB">
        <w:rPr>
          <w:rFonts w:eastAsia="Calibri" w:cstheme="minorHAnsi"/>
          <w:b/>
          <w:sz w:val="20"/>
          <w:szCs w:val="20"/>
        </w:rPr>
        <w:t xml:space="preserve"> de la </w:t>
      </w:r>
      <w:proofErr w:type="spellStart"/>
      <w:r w:rsidRPr="005441BB">
        <w:rPr>
          <w:rFonts w:eastAsia="Calibri" w:cstheme="minorHAnsi"/>
          <w:b/>
          <w:sz w:val="20"/>
          <w:szCs w:val="20"/>
        </w:rPr>
        <w:t>calidad</w:t>
      </w:r>
      <w:proofErr w:type="spellEnd"/>
      <w:r w:rsidRPr="005441BB">
        <w:rPr>
          <w:rFonts w:eastAsia="Calibri" w:cstheme="minorHAnsi"/>
          <w:b/>
          <w:sz w:val="20"/>
          <w:szCs w:val="20"/>
        </w:rPr>
        <w:t xml:space="preserve"> de vida de las personas </w:t>
      </w:r>
      <w:proofErr w:type="spellStart"/>
      <w:r w:rsidRPr="005441BB">
        <w:rPr>
          <w:rFonts w:eastAsia="Calibri" w:cstheme="minorHAnsi"/>
          <w:b/>
          <w:sz w:val="20"/>
          <w:szCs w:val="20"/>
        </w:rPr>
        <w:t>con</w:t>
      </w:r>
      <w:proofErr w:type="spellEnd"/>
      <w:r w:rsidRPr="005441BB">
        <w:rPr>
          <w:rFonts w:eastAsia="Calibri" w:cstheme="minorHAnsi"/>
          <w:b/>
          <w:sz w:val="20"/>
          <w:szCs w:val="20"/>
        </w:rPr>
        <w:t xml:space="preserve"> </w:t>
      </w:r>
      <w:proofErr w:type="spellStart"/>
      <w:r w:rsidRPr="005441BB">
        <w:rPr>
          <w:rFonts w:eastAsia="Calibri" w:cstheme="minorHAnsi"/>
          <w:b/>
          <w:sz w:val="20"/>
          <w:szCs w:val="20"/>
        </w:rPr>
        <w:t>adicción</w:t>
      </w:r>
      <w:proofErr w:type="spellEnd"/>
      <w:r w:rsidRPr="005441BB">
        <w:rPr>
          <w:rFonts w:eastAsia="Calibri" w:cstheme="minorHAnsi"/>
          <w:b/>
          <w:sz w:val="20"/>
          <w:szCs w:val="20"/>
        </w:rPr>
        <w:t xml:space="preserve"> a las drogas</w:t>
      </w:r>
    </w:p>
    <w:p w:rsidR="00565A24" w:rsidRPr="005441BB" w:rsidRDefault="00565A24" w:rsidP="00EF4154">
      <w:pPr>
        <w:spacing w:after="0" w:line="360" w:lineRule="auto"/>
        <w:ind w:left="284"/>
        <w:rPr>
          <w:rFonts w:eastAsia="Calibri" w:cstheme="minorHAnsi"/>
          <w:sz w:val="20"/>
          <w:szCs w:val="20"/>
        </w:rPr>
      </w:pPr>
    </w:p>
    <w:p w:rsidR="00684F82" w:rsidRPr="005441BB" w:rsidRDefault="00684F82" w:rsidP="00EF4154">
      <w:pPr>
        <w:spacing w:after="0" w:line="360" w:lineRule="auto"/>
        <w:ind w:left="284"/>
        <w:rPr>
          <w:rFonts w:eastAsia="Calibri" w:cstheme="minorHAnsi"/>
          <w:b/>
          <w:sz w:val="20"/>
          <w:szCs w:val="20"/>
          <w:lang w:val="es-ES"/>
        </w:rPr>
      </w:pPr>
      <w:r w:rsidRPr="005441BB">
        <w:rPr>
          <w:rFonts w:eastAsia="Calibri" w:cstheme="minorHAnsi"/>
          <w:b/>
          <w:sz w:val="20"/>
          <w:szCs w:val="20"/>
          <w:lang w:val="es-ES"/>
        </w:rPr>
        <w:t>RESUMO</w:t>
      </w:r>
    </w:p>
    <w:p w:rsidR="00040F06" w:rsidRPr="005441BB" w:rsidRDefault="00040F06" w:rsidP="00EF4154">
      <w:pPr>
        <w:spacing w:after="0" w:line="360" w:lineRule="auto"/>
        <w:ind w:left="284"/>
        <w:rPr>
          <w:rFonts w:eastAsia="Calibri" w:cstheme="minorHAnsi"/>
          <w:sz w:val="20"/>
          <w:szCs w:val="20"/>
          <w:lang w:val="es-ES"/>
        </w:rPr>
      </w:pPr>
    </w:p>
    <w:p w:rsidR="00684F82" w:rsidRPr="005441BB" w:rsidRDefault="00684F82" w:rsidP="00EF4154">
      <w:pPr>
        <w:spacing w:after="0" w:line="360" w:lineRule="auto"/>
        <w:ind w:left="284"/>
        <w:rPr>
          <w:rFonts w:eastAsia="Calibri" w:cstheme="minorHAnsi"/>
          <w:sz w:val="20"/>
          <w:szCs w:val="20"/>
          <w:lang w:val="es-ES"/>
        </w:rPr>
      </w:pPr>
      <w:proofErr w:type="spellStart"/>
      <w:r w:rsidRPr="005441BB">
        <w:rPr>
          <w:rFonts w:eastAsia="Calibri" w:cstheme="minorHAnsi"/>
          <w:sz w:val="20"/>
          <w:szCs w:val="20"/>
          <w:lang w:val="es-ES"/>
        </w:rPr>
        <w:t>Introdução</w:t>
      </w:r>
      <w:proofErr w:type="spellEnd"/>
      <w:r w:rsidRPr="005441BB">
        <w:rPr>
          <w:rFonts w:eastAsia="Calibri" w:cstheme="minorHAnsi"/>
          <w:sz w:val="20"/>
          <w:szCs w:val="20"/>
          <w:lang w:val="es-ES"/>
        </w:rPr>
        <w:t xml:space="preserve">: A </w:t>
      </w:r>
      <w:proofErr w:type="spellStart"/>
      <w:r w:rsidRPr="005441BB">
        <w:rPr>
          <w:rFonts w:eastAsia="Calibri" w:cstheme="minorHAnsi"/>
          <w:sz w:val="20"/>
          <w:szCs w:val="20"/>
          <w:lang w:val="es-ES"/>
        </w:rPr>
        <w:t>toxicodependência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afeta</w:t>
      </w:r>
      <w:proofErr w:type="spellEnd"/>
      <w:r w:rsidRPr="005441BB">
        <w:rPr>
          <w:rFonts w:eastAsia="Calibri" w:cstheme="minorHAnsi"/>
          <w:sz w:val="20"/>
          <w:szCs w:val="20"/>
          <w:lang w:val="es-ES"/>
        </w:rPr>
        <w:t xml:space="preserve"> a vida de </w:t>
      </w:r>
      <w:proofErr w:type="spellStart"/>
      <w:r w:rsidR="00FE0F05" w:rsidRPr="005441BB">
        <w:rPr>
          <w:rFonts w:eastAsia="Calibri" w:cstheme="minorHAnsi"/>
          <w:sz w:val="20"/>
          <w:szCs w:val="20"/>
          <w:lang w:val="es-ES"/>
        </w:rPr>
        <w:t>muitas</w:t>
      </w:r>
      <w:proofErr w:type="spellEnd"/>
      <w:r w:rsidR="00FE0F05" w:rsidRPr="005441BB">
        <w:rPr>
          <w:rFonts w:eastAsia="Calibri" w:cstheme="minorHAnsi"/>
          <w:sz w:val="20"/>
          <w:szCs w:val="20"/>
          <w:lang w:val="es-ES"/>
        </w:rPr>
        <w:t xml:space="preserve"> </w:t>
      </w:r>
      <w:proofErr w:type="spellStart"/>
      <w:r w:rsidR="00FE0F05" w:rsidRPr="005441BB">
        <w:rPr>
          <w:rFonts w:eastAsia="Calibri" w:cstheme="minorHAnsi"/>
          <w:sz w:val="20"/>
          <w:szCs w:val="20"/>
          <w:lang w:val="es-ES"/>
        </w:rPr>
        <w:t>pessoas</w:t>
      </w:r>
      <w:proofErr w:type="spellEnd"/>
      <w:r w:rsidRPr="005441BB">
        <w:rPr>
          <w:rFonts w:eastAsia="Calibri" w:cstheme="minorHAnsi"/>
          <w:sz w:val="20"/>
          <w:szCs w:val="20"/>
          <w:lang w:val="es-ES"/>
        </w:rPr>
        <w:t xml:space="preserve"> e os dados </w:t>
      </w:r>
      <w:proofErr w:type="spellStart"/>
      <w:r w:rsidRPr="005441BB">
        <w:rPr>
          <w:rFonts w:eastAsia="Calibri" w:cstheme="minorHAnsi"/>
          <w:sz w:val="20"/>
          <w:szCs w:val="20"/>
          <w:lang w:val="es-ES"/>
        </w:rPr>
        <w:t>estatísticos</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embora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escassos</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demonstram</w:t>
      </w:r>
      <w:proofErr w:type="spellEnd"/>
      <w:r w:rsidRPr="005441BB">
        <w:rPr>
          <w:rFonts w:eastAsia="Calibri" w:cstheme="minorHAnsi"/>
          <w:sz w:val="20"/>
          <w:szCs w:val="20"/>
          <w:lang w:val="es-ES"/>
        </w:rPr>
        <w:t xml:space="preserve"> a </w:t>
      </w:r>
      <w:proofErr w:type="spellStart"/>
      <w:r w:rsidRPr="005441BB">
        <w:rPr>
          <w:rFonts w:eastAsia="Calibri" w:cstheme="minorHAnsi"/>
          <w:sz w:val="20"/>
          <w:szCs w:val="20"/>
          <w:lang w:val="es-ES"/>
        </w:rPr>
        <w:t>abrangência</w:t>
      </w:r>
      <w:proofErr w:type="spellEnd"/>
      <w:r w:rsidRPr="005441BB">
        <w:rPr>
          <w:rFonts w:eastAsia="Calibri" w:cstheme="minorHAnsi"/>
          <w:sz w:val="20"/>
          <w:szCs w:val="20"/>
          <w:lang w:val="es-ES"/>
        </w:rPr>
        <w:t xml:space="preserve"> do problema, que se inicia, </w:t>
      </w:r>
      <w:proofErr w:type="spellStart"/>
      <w:r w:rsidRPr="005441BB">
        <w:rPr>
          <w:rFonts w:eastAsia="Calibri" w:cstheme="minorHAnsi"/>
          <w:sz w:val="20"/>
          <w:szCs w:val="20"/>
          <w:lang w:val="es-ES"/>
        </w:rPr>
        <w:t>geralmente</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em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idades</w:t>
      </w:r>
      <w:proofErr w:type="spellEnd"/>
      <w:r w:rsidRPr="005441BB">
        <w:rPr>
          <w:rFonts w:eastAsia="Calibri" w:cstheme="minorHAnsi"/>
          <w:sz w:val="20"/>
          <w:szCs w:val="20"/>
          <w:lang w:val="es-ES"/>
        </w:rPr>
        <w:t xml:space="preserve"> precoces e que se </w:t>
      </w:r>
      <w:proofErr w:type="spellStart"/>
      <w:r w:rsidRPr="005441BB">
        <w:rPr>
          <w:rFonts w:eastAsia="Calibri" w:cstheme="minorHAnsi"/>
          <w:sz w:val="20"/>
          <w:szCs w:val="20"/>
          <w:lang w:val="es-ES"/>
        </w:rPr>
        <w:t>mantém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ao</w:t>
      </w:r>
      <w:proofErr w:type="spellEnd"/>
      <w:r w:rsidRPr="005441BB">
        <w:rPr>
          <w:rFonts w:eastAsia="Calibri" w:cstheme="minorHAnsi"/>
          <w:sz w:val="20"/>
          <w:szCs w:val="20"/>
          <w:lang w:val="es-ES"/>
        </w:rPr>
        <w:t xml:space="preserve"> longo da vida</w:t>
      </w:r>
      <w:r w:rsidR="00183D75" w:rsidRPr="005441BB">
        <w:rPr>
          <w:rFonts w:eastAsia="Calibri" w:cstheme="minorHAnsi"/>
          <w:sz w:val="20"/>
          <w:szCs w:val="20"/>
          <w:lang w:val="es-ES"/>
        </w:rPr>
        <w:t xml:space="preserve">, </w:t>
      </w:r>
      <w:proofErr w:type="spellStart"/>
      <w:r w:rsidR="00FE0F05" w:rsidRPr="005441BB">
        <w:rPr>
          <w:rFonts w:eastAsia="Calibri" w:cstheme="minorHAnsi"/>
          <w:sz w:val="20"/>
          <w:szCs w:val="20"/>
          <w:lang w:val="es-ES"/>
        </w:rPr>
        <w:t>com</w:t>
      </w:r>
      <w:proofErr w:type="spellEnd"/>
      <w:r w:rsidR="00FE0F05" w:rsidRPr="005441BB">
        <w:rPr>
          <w:rFonts w:eastAsia="Calibri" w:cstheme="minorHAnsi"/>
          <w:sz w:val="20"/>
          <w:szCs w:val="20"/>
          <w:lang w:val="es-ES"/>
        </w:rPr>
        <w:t xml:space="preserve"> </w:t>
      </w:r>
      <w:proofErr w:type="spellStart"/>
      <w:r w:rsidR="00FE0F05" w:rsidRPr="005441BB">
        <w:rPr>
          <w:rFonts w:eastAsia="Calibri" w:cstheme="minorHAnsi"/>
          <w:sz w:val="20"/>
          <w:szCs w:val="20"/>
          <w:lang w:val="es-ES"/>
        </w:rPr>
        <w:t>implicações</w:t>
      </w:r>
      <w:proofErr w:type="spellEnd"/>
      <w:r w:rsidR="00FE0F05" w:rsidRPr="005441BB">
        <w:rPr>
          <w:rFonts w:eastAsia="Calibri" w:cstheme="minorHAnsi"/>
          <w:sz w:val="20"/>
          <w:szCs w:val="20"/>
          <w:lang w:val="es-ES"/>
        </w:rPr>
        <w:t xml:space="preserve"> na </w:t>
      </w:r>
      <w:proofErr w:type="spellStart"/>
      <w:r w:rsidR="00FE0F05" w:rsidRPr="005441BB">
        <w:rPr>
          <w:rFonts w:eastAsia="Calibri" w:cstheme="minorHAnsi"/>
          <w:sz w:val="20"/>
          <w:szCs w:val="20"/>
          <w:lang w:val="es-ES"/>
        </w:rPr>
        <w:t>sua</w:t>
      </w:r>
      <w:proofErr w:type="spellEnd"/>
      <w:r w:rsidR="00FE0F05" w:rsidRPr="005441BB">
        <w:rPr>
          <w:rFonts w:eastAsia="Calibri" w:cstheme="minorHAnsi"/>
          <w:sz w:val="20"/>
          <w:szCs w:val="20"/>
          <w:lang w:val="es-ES"/>
        </w:rPr>
        <w:t xml:space="preserve"> </w:t>
      </w:r>
      <w:proofErr w:type="spellStart"/>
      <w:r w:rsidR="00FE0F05" w:rsidRPr="005441BB">
        <w:rPr>
          <w:rFonts w:eastAsia="Calibri" w:cstheme="minorHAnsi"/>
          <w:sz w:val="20"/>
          <w:szCs w:val="20"/>
          <w:lang w:val="es-ES"/>
        </w:rPr>
        <w:t>saúde</w:t>
      </w:r>
      <w:proofErr w:type="spellEnd"/>
      <w:r w:rsidR="00FE0F05" w:rsidRPr="005441BB">
        <w:rPr>
          <w:rFonts w:eastAsia="Calibri" w:cstheme="minorHAnsi"/>
          <w:sz w:val="20"/>
          <w:szCs w:val="20"/>
          <w:lang w:val="es-ES"/>
        </w:rPr>
        <w:t xml:space="preserve"> e </w:t>
      </w:r>
      <w:proofErr w:type="spellStart"/>
      <w:r w:rsidR="00FE0F05" w:rsidRPr="005441BB">
        <w:rPr>
          <w:rFonts w:eastAsia="Calibri" w:cstheme="minorHAnsi"/>
          <w:sz w:val="20"/>
          <w:szCs w:val="20"/>
          <w:lang w:val="es-ES"/>
        </w:rPr>
        <w:t>qualidade</w:t>
      </w:r>
      <w:proofErr w:type="spellEnd"/>
      <w:r w:rsidR="00FE0F05" w:rsidRPr="005441BB">
        <w:rPr>
          <w:rFonts w:eastAsia="Calibri" w:cstheme="minorHAnsi"/>
          <w:sz w:val="20"/>
          <w:szCs w:val="20"/>
          <w:lang w:val="es-ES"/>
        </w:rPr>
        <w:t xml:space="preserve"> de vida.</w:t>
      </w:r>
    </w:p>
    <w:p w:rsidR="00684F82" w:rsidRPr="005441BB" w:rsidRDefault="00684F82" w:rsidP="00EF4154">
      <w:pPr>
        <w:spacing w:after="0" w:line="360" w:lineRule="auto"/>
        <w:ind w:left="284"/>
        <w:rPr>
          <w:rFonts w:eastAsia="Calibri" w:cstheme="minorHAnsi"/>
          <w:sz w:val="20"/>
          <w:szCs w:val="20"/>
          <w:lang w:val="es-ES"/>
        </w:rPr>
      </w:pPr>
      <w:r w:rsidRPr="005441BB">
        <w:rPr>
          <w:rFonts w:eastAsia="Calibri" w:cstheme="minorHAnsi"/>
          <w:sz w:val="20"/>
          <w:szCs w:val="20"/>
          <w:lang w:val="es-ES"/>
        </w:rPr>
        <w:t xml:space="preserve">Objetivos: </w:t>
      </w:r>
      <w:proofErr w:type="spellStart"/>
      <w:r w:rsidRPr="005441BB">
        <w:rPr>
          <w:rFonts w:eastAsia="Calibri" w:cstheme="minorHAnsi"/>
          <w:sz w:val="20"/>
          <w:szCs w:val="20"/>
          <w:lang w:val="es-ES"/>
        </w:rPr>
        <w:t>avaliar</w:t>
      </w:r>
      <w:proofErr w:type="spellEnd"/>
      <w:r w:rsidRPr="005441BB">
        <w:rPr>
          <w:rFonts w:eastAsia="Calibri" w:cstheme="minorHAnsi"/>
          <w:sz w:val="20"/>
          <w:szCs w:val="20"/>
          <w:lang w:val="es-ES"/>
        </w:rPr>
        <w:t xml:space="preserve"> a </w:t>
      </w:r>
      <w:proofErr w:type="spellStart"/>
      <w:r w:rsidRPr="005441BB">
        <w:rPr>
          <w:rFonts w:eastAsia="Calibri" w:cstheme="minorHAnsi"/>
          <w:sz w:val="20"/>
          <w:szCs w:val="20"/>
          <w:lang w:val="es-ES"/>
        </w:rPr>
        <w:t>perceção</w:t>
      </w:r>
      <w:proofErr w:type="spellEnd"/>
      <w:r w:rsidRPr="005441BB">
        <w:rPr>
          <w:rFonts w:eastAsia="Calibri" w:cstheme="minorHAnsi"/>
          <w:sz w:val="20"/>
          <w:szCs w:val="20"/>
          <w:lang w:val="es-ES"/>
        </w:rPr>
        <w:t xml:space="preserve"> de </w:t>
      </w:r>
      <w:proofErr w:type="spellStart"/>
      <w:r w:rsidRPr="005441BB">
        <w:rPr>
          <w:rFonts w:eastAsia="Calibri" w:cstheme="minorHAnsi"/>
          <w:sz w:val="20"/>
          <w:szCs w:val="20"/>
          <w:lang w:val="es-ES"/>
        </w:rPr>
        <w:t>qualidade</w:t>
      </w:r>
      <w:proofErr w:type="spellEnd"/>
      <w:r w:rsidRPr="005441BB">
        <w:rPr>
          <w:rFonts w:eastAsia="Calibri" w:cstheme="minorHAnsi"/>
          <w:sz w:val="20"/>
          <w:szCs w:val="20"/>
          <w:lang w:val="es-ES"/>
        </w:rPr>
        <w:t xml:space="preserve"> de vida </w:t>
      </w:r>
      <w:r w:rsidR="00347B8F" w:rsidRPr="005441BB">
        <w:rPr>
          <w:rFonts w:eastAsia="Calibri" w:cstheme="minorHAnsi"/>
          <w:sz w:val="20"/>
          <w:szCs w:val="20"/>
          <w:lang w:val="es-ES"/>
        </w:rPr>
        <w:t xml:space="preserve">(QV) </w:t>
      </w:r>
      <w:r w:rsidRPr="005441BB">
        <w:rPr>
          <w:rFonts w:eastAsia="Calibri" w:cstheme="minorHAnsi"/>
          <w:sz w:val="20"/>
          <w:szCs w:val="20"/>
          <w:lang w:val="es-ES"/>
        </w:rPr>
        <w:t xml:space="preserve">das </w:t>
      </w:r>
      <w:proofErr w:type="spellStart"/>
      <w:r w:rsidRPr="005441BB">
        <w:rPr>
          <w:rFonts w:eastAsia="Calibri" w:cstheme="minorHAnsi"/>
          <w:sz w:val="20"/>
          <w:szCs w:val="20"/>
          <w:lang w:val="es-ES"/>
        </w:rPr>
        <w:t>pessoas</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com</w:t>
      </w:r>
      <w:proofErr w:type="spellEnd"/>
      <w:r w:rsidRPr="005441BB">
        <w:rPr>
          <w:rFonts w:eastAsia="Calibri" w:cstheme="minorHAnsi"/>
          <w:sz w:val="20"/>
          <w:szCs w:val="20"/>
          <w:lang w:val="es-ES"/>
        </w:rPr>
        <w:t xml:space="preserve"> problemáticas aditivas; comparar </w:t>
      </w:r>
      <w:proofErr w:type="spellStart"/>
      <w:r w:rsidRPr="005441BB">
        <w:rPr>
          <w:rFonts w:eastAsia="Calibri" w:cstheme="minorHAnsi"/>
          <w:sz w:val="20"/>
          <w:szCs w:val="20"/>
          <w:lang w:val="es-ES"/>
        </w:rPr>
        <w:t>essa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perceção</w:t>
      </w:r>
      <w:proofErr w:type="spellEnd"/>
      <w:r w:rsidRPr="005441BB">
        <w:rPr>
          <w:rFonts w:eastAsia="Calibri" w:cstheme="minorHAnsi"/>
          <w:sz w:val="20"/>
          <w:szCs w:val="20"/>
          <w:lang w:val="es-ES"/>
        </w:rPr>
        <w:t xml:space="preserve"> </w:t>
      </w:r>
      <w:r w:rsidR="00FE0F05" w:rsidRPr="005441BB">
        <w:rPr>
          <w:rFonts w:eastAsia="Calibri" w:cstheme="minorHAnsi"/>
          <w:sz w:val="20"/>
          <w:szCs w:val="20"/>
          <w:lang w:val="es-ES"/>
        </w:rPr>
        <w:t xml:space="preserve">entre os </w:t>
      </w:r>
      <w:proofErr w:type="spellStart"/>
      <w:r w:rsidR="00FE0F05" w:rsidRPr="005441BB">
        <w:rPr>
          <w:rFonts w:eastAsia="Calibri" w:cstheme="minorHAnsi"/>
          <w:sz w:val="20"/>
          <w:szCs w:val="20"/>
          <w:lang w:val="es-ES"/>
        </w:rPr>
        <w:t>depende</w:t>
      </w:r>
      <w:r w:rsidRPr="005441BB">
        <w:rPr>
          <w:rFonts w:eastAsia="Calibri" w:cstheme="minorHAnsi"/>
          <w:sz w:val="20"/>
          <w:szCs w:val="20"/>
          <w:lang w:val="es-ES"/>
        </w:rPr>
        <w:t>n</w:t>
      </w:r>
      <w:r w:rsidR="00FE0F05" w:rsidRPr="005441BB">
        <w:rPr>
          <w:rFonts w:eastAsia="Calibri" w:cstheme="minorHAnsi"/>
          <w:sz w:val="20"/>
          <w:szCs w:val="20"/>
          <w:lang w:val="es-ES"/>
        </w:rPr>
        <w:t>tes</w:t>
      </w:r>
      <w:proofErr w:type="spellEnd"/>
      <w:r w:rsidRPr="005441BB">
        <w:rPr>
          <w:rFonts w:eastAsia="Calibri" w:cstheme="minorHAnsi"/>
          <w:sz w:val="20"/>
          <w:szCs w:val="20"/>
          <w:lang w:val="es-ES"/>
        </w:rPr>
        <w:t xml:space="preserve"> de drogas lícitas e ilícitas; e </w:t>
      </w:r>
      <w:proofErr w:type="spellStart"/>
      <w:r w:rsidRPr="005441BB">
        <w:rPr>
          <w:rFonts w:eastAsia="Calibri" w:cstheme="minorHAnsi"/>
          <w:sz w:val="20"/>
          <w:szCs w:val="20"/>
          <w:lang w:val="es-ES"/>
        </w:rPr>
        <w:t>descrever</w:t>
      </w:r>
      <w:proofErr w:type="spellEnd"/>
      <w:r w:rsidRPr="005441BB">
        <w:rPr>
          <w:rFonts w:eastAsia="Calibri" w:cstheme="minorHAnsi"/>
          <w:sz w:val="20"/>
          <w:szCs w:val="20"/>
          <w:lang w:val="es-ES"/>
        </w:rPr>
        <w:t xml:space="preserve"> as </w:t>
      </w:r>
      <w:proofErr w:type="spellStart"/>
      <w:r w:rsidRPr="005441BB">
        <w:rPr>
          <w:rFonts w:eastAsia="Calibri" w:cstheme="minorHAnsi"/>
          <w:sz w:val="20"/>
          <w:szCs w:val="20"/>
          <w:lang w:val="es-ES"/>
        </w:rPr>
        <w:t>diferenças</w:t>
      </w:r>
      <w:proofErr w:type="spellEnd"/>
      <w:r w:rsidRPr="005441BB">
        <w:rPr>
          <w:rFonts w:eastAsia="Calibri" w:cstheme="minorHAnsi"/>
          <w:sz w:val="20"/>
          <w:szCs w:val="20"/>
          <w:lang w:val="es-ES"/>
        </w:rPr>
        <w:t xml:space="preserve">, considerando as </w:t>
      </w:r>
      <w:proofErr w:type="spellStart"/>
      <w:r w:rsidRPr="005441BB">
        <w:rPr>
          <w:rFonts w:eastAsia="Calibri" w:cstheme="minorHAnsi"/>
          <w:sz w:val="20"/>
          <w:szCs w:val="20"/>
          <w:lang w:val="es-ES"/>
        </w:rPr>
        <w:t>variáveis</w:t>
      </w:r>
      <w:proofErr w:type="spellEnd"/>
      <w:r w:rsidRPr="005441BB">
        <w:rPr>
          <w:rFonts w:eastAsia="Calibri" w:cstheme="minorHAnsi"/>
          <w:sz w:val="20"/>
          <w:szCs w:val="20"/>
          <w:lang w:val="es-ES"/>
        </w:rPr>
        <w:t xml:space="preserve"> sociodemográficas, de </w:t>
      </w:r>
      <w:proofErr w:type="spellStart"/>
      <w:r w:rsidRPr="005441BB">
        <w:rPr>
          <w:rFonts w:eastAsia="Calibri" w:cstheme="minorHAnsi"/>
          <w:sz w:val="20"/>
          <w:szCs w:val="20"/>
          <w:lang w:val="es-ES"/>
        </w:rPr>
        <w:t>saúde</w:t>
      </w:r>
      <w:proofErr w:type="spellEnd"/>
      <w:r w:rsidRPr="005441BB">
        <w:rPr>
          <w:rFonts w:eastAsia="Calibri" w:cstheme="minorHAnsi"/>
          <w:sz w:val="20"/>
          <w:szCs w:val="20"/>
          <w:lang w:val="es-ES"/>
        </w:rPr>
        <w:t xml:space="preserve"> e de </w:t>
      </w:r>
      <w:proofErr w:type="spellStart"/>
      <w:r w:rsidRPr="005441BB">
        <w:rPr>
          <w:rFonts w:eastAsia="Calibri" w:cstheme="minorHAnsi"/>
          <w:sz w:val="20"/>
          <w:szCs w:val="20"/>
          <w:lang w:val="es-ES"/>
        </w:rPr>
        <w:t>tratamento</w:t>
      </w:r>
      <w:proofErr w:type="spellEnd"/>
      <w:r w:rsidRPr="005441BB">
        <w:rPr>
          <w:rFonts w:eastAsia="Calibri" w:cstheme="minorHAnsi"/>
          <w:sz w:val="20"/>
          <w:szCs w:val="20"/>
          <w:lang w:val="es-ES"/>
        </w:rPr>
        <w:t>.</w:t>
      </w:r>
    </w:p>
    <w:p w:rsidR="00684F82" w:rsidRPr="005441BB" w:rsidRDefault="00684F82" w:rsidP="00EF4154">
      <w:pPr>
        <w:spacing w:after="0" w:line="360" w:lineRule="auto"/>
        <w:ind w:left="284"/>
        <w:rPr>
          <w:rFonts w:eastAsia="Calibri" w:cstheme="minorHAnsi"/>
          <w:sz w:val="20"/>
          <w:szCs w:val="20"/>
          <w:lang w:val="es-ES"/>
        </w:rPr>
      </w:pPr>
      <w:r w:rsidRPr="005441BB">
        <w:rPr>
          <w:rFonts w:eastAsia="Calibri" w:cstheme="minorHAnsi"/>
          <w:sz w:val="20"/>
          <w:szCs w:val="20"/>
          <w:lang w:val="es-ES"/>
        </w:rPr>
        <w:t xml:space="preserve">Métodos: Desenvolvemos </w:t>
      </w:r>
      <w:proofErr w:type="spellStart"/>
      <w:r w:rsidRPr="005441BB">
        <w:rPr>
          <w:rFonts w:eastAsia="Calibri" w:cstheme="minorHAnsi"/>
          <w:sz w:val="20"/>
          <w:szCs w:val="20"/>
          <w:lang w:val="es-ES"/>
        </w:rPr>
        <w:t>um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estudo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quantitativo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descritivo</w:t>
      </w:r>
      <w:proofErr w:type="spellEnd"/>
      <w:r w:rsidRPr="005441BB">
        <w:rPr>
          <w:rFonts w:eastAsia="Calibri" w:cstheme="minorHAnsi"/>
          <w:sz w:val="20"/>
          <w:szCs w:val="20"/>
          <w:lang w:val="es-ES"/>
        </w:rPr>
        <w:t xml:space="preserve"> e transversal </w:t>
      </w:r>
      <w:proofErr w:type="spellStart"/>
      <w:r w:rsidRPr="005441BB">
        <w:rPr>
          <w:rFonts w:eastAsia="Calibri" w:cstheme="minorHAnsi"/>
          <w:sz w:val="20"/>
          <w:szCs w:val="20"/>
          <w:lang w:val="es-ES"/>
        </w:rPr>
        <w:t>com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uma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amostra</w:t>
      </w:r>
      <w:proofErr w:type="spellEnd"/>
      <w:r w:rsidRPr="005441BB">
        <w:rPr>
          <w:rFonts w:eastAsia="Calibri" w:cstheme="minorHAnsi"/>
          <w:sz w:val="20"/>
          <w:szCs w:val="20"/>
          <w:lang w:val="es-ES"/>
        </w:rPr>
        <w:t xml:space="preserve"> de 108 </w:t>
      </w:r>
      <w:proofErr w:type="spellStart"/>
      <w:r w:rsidRPr="005441BB">
        <w:rPr>
          <w:rFonts w:eastAsia="Calibri" w:cstheme="minorHAnsi"/>
          <w:sz w:val="20"/>
          <w:szCs w:val="20"/>
          <w:lang w:val="es-ES"/>
        </w:rPr>
        <w:t>pessoas</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em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tratamento</w:t>
      </w:r>
      <w:proofErr w:type="spellEnd"/>
      <w:r w:rsidRPr="005441BB">
        <w:rPr>
          <w:rFonts w:eastAsia="Calibri" w:cstheme="minorHAnsi"/>
          <w:sz w:val="20"/>
          <w:szCs w:val="20"/>
          <w:lang w:val="es-ES"/>
        </w:rPr>
        <w:t xml:space="preserve"> de </w:t>
      </w:r>
      <w:proofErr w:type="spellStart"/>
      <w:r w:rsidRPr="005441BB">
        <w:rPr>
          <w:rFonts w:eastAsia="Calibri" w:cstheme="minorHAnsi"/>
          <w:sz w:val="20"/>
          <w:szCs w:val="20"/>
          <w:lang w:val="es-ES"/>
        </w:rPr>
        <w:t>desabituação</w:t>
      </w:r>
      <w:proofErr w:type="spellEnd"/>
      <w:r w:rsidRPr="005441BB">
        <w:rPr>
          <w:rFonts w:eastAsia="Calibri" w:cstheme="minorHAnsi"/>
          <w:sz w:val="20"/>
          <w:szCs w:val="20"/>
          <w:lang w:val="es-ES"/>
        </w:rPr>
        <w:t xml:space="preserve"> no Distrito do Porto. A </w:t>
      </w:r>
      <w:proofErr w:type="spellStart"/>
      <w:r w:rsidRPr="005441BB">
        <w:rPr>
          <w:rFonts w:eastAsia="Calibri" w:cstheme="minorHAnsi"/>
          <w:sz w:val="20"/>
          <w:szCs w:val="20"/>
          <w:lang w:val="es-ES"/>
        </w:rPr>
        <w:t>amostra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maioritariamente</w:t>
      </w:r>
      <w:proofErr w:type="spellEnd"/>
      <w:r w:rsidRPr="005441BB">
        <w:rPr>
          <w:rFonts w:eastAsia="Calibri" w:cstheme="minorHAnsi"/>
          <w:sz w:val="20"/>
          <w:szCs w:val="20"/>
          <w:lang w:val="es-ES"/>
        </w:rPr>
        <w:t xml:space="preserve"> do sexo masculino, </w:t>
      </w:r>
      <w:proofErr w:type="spellStart"/>
      <w:r w:rsidRPr="005441BB">
        <w:rPr>
          <w:rFonts w:eastAsia="Calibri" w:cstheme="minorHAnsi"/>
          <w:sz w:val="20"/>
          <w:szCs w:val="20"/>
          <w:lang w:val="es-ES"/>
        </w:rPr>
        <w:t>com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idade</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média</w:t>
      </w:r>
      <w:proofErr w:type="spellEnd"/>
      <w:r w:rsidRPr="005441BB">
        <w:rPr>
          <w:rFonts w:eastAsia="Calibri" w:cstheme="minorHAnsi"/>
          <w:sz w:val="20"/>
          <w:szCs w:val="20"/>
          <w:lang w:val="es-ES"/>
        </w:rPr>
        <w:t xml:space="preserve"> de 45 anos e </w:t>
      </w:r>
      <w:proofErr w:type="spellStart"/>
      <w:r w:rsidRPr="005441BB">
        <w:rPr>
          <w:rFonts w:eastAsia="Calibri" w:cstheme="minorHAnsi"/>
          <w:sz w:val="20"/>
          <w:szCs w:val="20"/>
          <w:lang w:val="es-ES"/>
        </w:rPr>
        <w:t>baixa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escolaridade</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apresentava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um</w:t>
      </w:r>
      <w:proofErr w:type="spellEnd"/>
      <w:r w:rsidRPr="005441BB">
        <w:rPr>
          <w:rFonts w:eastAsia="Calibri" w:cstheme="minorHAnsi"/>
          <w:sz w:val="20"/>
          <w:szCs w:val="20"/>
          <w:lang w:val="es-ES"/>
        </w:rPr>
        <w:t xml:space="preserve"> longo historial de consumo de </w:t>
      </w:r>
      <w:proofErr w:type="spellStart"/>
      <w:r w:rsidRPr="005441BB">
        <w:rPr>
          <w:rFonts w:eastAsia="Calibri" w:cstheme="minorHAnsi"/>
          <w:sz w:val="20"/>
          <w:szCs w:val="20"/>
          <w:lang w:val="es-ES"/>
        </w:rPr>
        <w:t>substâncias</w:t>
      </w:r>
      <w:proofErr w:type="spellEnd"/>
      <w:r w:rsidRPr="005441BB">
        <w:rPr>
          <w:rFonts w:eastAsia="Calibri" w:cstheme="minorHAnsi"/>
          <w:sz w:val="20"/>
          <w:szCs w:val="20"/>
          <w:lang w:val="es-ES"/>
        </w:rPr>
        <w:t xml:space="preserve">, especialmente </w:t>
      </w:r>
      <w:proofErr w:type="spellStart"/>
      <w:r w:rsidRPr="005441BB">
        <w:rPr>
          <w:rFonts w:eastAsia="Calibri" w:cstheme="minorHAnsi"/>
          <w:sz w:val="20"/>
          <w:szCs w:val="20"/>
          <w:lang w:val="es-ES"/>
        </w:rPr>
        <w:t>em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policonsumos</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com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início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em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idades</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muito</w:t>
      </w:r>
      <w:proofErr w:type="spellEnd"/>
      <w:r w:rsidRPr="005441BB">
        <w:rPr>
          <w:rFonts w:eastAsia="Calibri" w:cstheme="minorHAnsi"/>
          <w:sz w:val="20"/>
          <w:szCs w:val="20"/>
          <w:lang w:val="es-ES"/>
        </w:rPr>
        <w:t xml:space="preserve"> precoces. </w:t>
      </w:r>
    </w:p>
    <w:p w:rsidR="00684F82" w:rsidRPr="005441BB" w:rsidRDefault="00684F82" w:rsidP="00EF4154">
      <w:pPr>
        <w:spacing w:after="0" w:line="360" w:lineRule="auto"/>
        <w:ind w:left="284"/>
        <w:rPr>
          <w:rFonts w:eastAsia="Calibri" w:cstheme="minorHAnsi"/>
          <w:sz w:val="20"/>
          <w:szCs w:val="20"/>
          <w:lang w:val="es-ES"/>
        </w:rPr>
      </w:pPr>
      <w:r w:rsidRPr="005441BB">
        <w:rPr>
          <w:rFonts w:eastAsia="Calibri" w:cstheme="minorHAnsi"/>
          <w:sz w:val="20"/>
          <w:szCs w:val="20"/>
          <w:lang w:val="es-ES"/>
        </w:rPr>
        <w:t xml:space="preserve">Resultados: </w:t>
      </w:r>
      <w:r w:rsidR="00347B8F" w:rsidRPr="005441BB">
        <w:rPr>
          <w:rFonts w:eastAsia="Calibri" w:cstheme="minorHAnsi"/>
          <w:sz w:val="20"/>
          <w:szCs w:val="20"/>
          <w:lang w:val="es-ES"/>
        </w:rPr>
        <w:t>Da</w:t>
      </w:r>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análise</w:t>
      </w:r>
      <w:proofErr w:type="spellEnd"/>
      <w:r w:rsidRPr="005441BB">
        <w:rPr>
          <w:rFonts w:eastAsia="Calibri" w:cstheme="minorHAnsi"/>
          <w:sz w:val="20"/>
          <w:szCs w:val="20"/>
          <w:lang w:val="es-ES"/>
        </w:rPr>
        <w:t xml:space="preserve"> dos dados (</w:t>
      </w:r>
      <w:r w:rsidR="00FE0F05" w:rsidRPr="005441BB">
        <w:rPr>
          <w:rFonts w:eastAsia="Calibri" w:cstheme="minorHAnsi"/>
          <w:sz w:val="20"/>
          <w:szCs w:val="20"/>
          <w:lang w:val="es-ES"/>
        </w:rPr>
        <w:t>utilizando o</w:t>
      </w:r>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Quality</w:t>
      </w:r>
      <w:proofErr w:type="spellEnd"/>
      <w:r w:rsidRPr="005441BB">
        <w:rPr>
          <w:rFonts w:eastAsia="Calibri" w:cstheme="minorHAnsi"/>
          <w:sz w:val="20"/>
          <w:szCs w:val="20"/>
          <w:lang w:val="es-ES"/>
        </w:rPr>
        <w:t xml:space="preserve"> of </w:t>
      </w:r>
      <w:proofErr w:type="spellStart"/>
      <w:r w:rsidRPr="005441BB">
        <w:rPr>
          <w:rFonts w:eastAsia="Calibri" w:cstheme="minorHAnsi"/>
          <w:sz w:val="20"/>
          <w:szCs w:val="20"/>
          <w:lang w:val="es-ES"/>
        </w:rPr>
        <w:t>Life</w:t>
      </w:r>
      <w:proofErr w:type="spellEnd"/>
      <w:r w:rsidRPr="005441BB">
        <w:rPr>
          <w:rFonts w:eastAsia="Calibri" w:cstheme="minorHAnsi"/>
          <w:sz w:val="20"/>
          <w:szCs w:val="20"/>
          <w:lang w:val="es-ES"/>
        </w:rPr>
        <w:t xml:space="preserve"> Índex) </w:t>
      </w:r>
      <w:r w:rsidR="00347B8F" w:rsidRPr="005441BB">
        <w:rPr>
          <w:rFonts w:eastAsia="Calibri" w:cstheme="minorHAnsi"/>
          <w:sz w:val="20"/>
          <w:szCs w:val="20"/>
          <w:lang w:val="es-ES"/>
        </w:rPr>
        <w:t>podemos inferir</w:t>
      </w:r>
      <w:r w:rsidRPr="005441BB">
        <w:rPr>
          <w:rFonts w:eastAsia="Calibri" w:cstheme="minorHAnsi"/>
          <w:sz w:val="20"/>
          <w:szCs w:val="20"/>
          <w:lang w:val="es-ES"/>
        </w:rPr>
        <w:t xml:space="preserve"> que a </w:t>
      </w:r>
      <w:proofErr w:type="spellStart"/>
      <w:r w:rsidRPr="005441BB">
        <w:rPr>
          <w:rFonts w:eastAsia="Calibri" w:cstheme="minorHAnsi"/>
          <w:sz w:val="20"/>
          <w:szCs w:val="20"/>
          <w:lang w:val="es-ES"/>
        </w:rPr>
        <w:t>amostra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tinha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uma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perceção</w:t>
      </w:r>
      <w:proofErr w:type="spellEnd"/>
      <w:r w:rsidRPr="005441BB">
        <w:rPr>
          <w:rFonts w:eastAsia="Calibri" w:cstheme="minorHAnsi"/>
          <w:sz w:val="20"/>
          <w:szCs w:val="20"/>
          <w:lang w:val="es-ES"/>
        </w:rPr>
        <w:t xml:space="preserve"> positiva sobre a </w:t>
      </w:r>
      <w:proofErr w:type="spellStart"/>
      <w:r w:rsidRPr="005441BB">
        <w:rPr>
          <w:rFonts w:eastAsia="Calibri" w:cstheme="minorHAnsi"/>
          <w:sz w:val="20"/>
          <w:szCs w:val="20"/>
          <w:lang w:val="es-ES"/>
        </w:rPr>
        <w:t>sua</w:t>
      </w:r>
      <w:proofErr w:type="spellEnd"/>
      <w:r w:rsidRPr="005441BB">
        <w:rPr>
          <w:rFonts w:eastAsia="Calibri" w:cstheme="minorHAnsi"/>
          <w:sz w:val="20"/>
          <w:szCs w:val="20"/>
          <w:lang w:val="es-ES"/>
        </w:rPr>
        <w:t xml:space="preserve"> </w:t>
      </w:r>
      <w:r w:rsidR="00347B8F" w:rsidRPr="005441BB">
        <w:rPr>
          <w:rFonts w:eastAsia="Calibri" w:cstheme="minorHAnsi"/>
          <w:sz w:val="20"/>
          <w:szCs w:val="20"/>
          <w:lang w:val="es-ES"/>
        </w:rPr>
        <w:t xml:space="preserve">QV; que </w:t>
      </w:r>
      <w:r w:rsidRPr="005441BB">
        <w:rPr>
          <w:rFonts w:eastAsia="Calibri" w:cstheme="minorHAnsi"/>
          <w:sz w:val="20"/>
          <w:szCs w:val="20"/>
          <w:lang w:val="es-ES"/>
        </w:rPr>
        <w:t xml:space="preserve">esta </w:t>
      </w:r>
      <w:proofErr w:type="spellStart"/>
      <w:r w:rsidRPr="005441BB">
        <w:rPr>
          <w:rFonts w:eastAsia="Calibri" w:cstheme="minorHAnsi"/>
          <w:sz w:val="20"/>
          <w:szCs w:val="20"/>
          <w:lang w:val="es-ES"/>
        </w:rPr>
        <w:t>avaliação</w:t>
      </w:r>
      <w:proofErr w:type="spellEnd"/>
      <w:r w:rsidRPr="005441BB">
        <w:rPr>
          <w:rFonts w:eastAsia="Calibri" w:cstheme="minorHAnsi"/>
          <w:sz w:val="20"/>
          <w:szCs w:val="20"/>
          <w:lang w:val="es-ES"/>
        </w:rPr>
        <w:t xml:space="preserve"> </w:t>
      </w:r>
      <w:proofErr w:type="spellStart"/>
      <w:r w:rsidR="00347B8F" w:rsidRPr="005441BB">
        <w:rPr>
          <w:rFonts w:eastAsia="Calibri" w:cstheme="minorHAnsi"/>
          <w:sz w:val="20"/>
          <w:szCs w:val="20"/>
          <w:lang w:val="es-ES"/>
        </w:rPr>
        <w:t>não</w:t>
      </w:r>
      <w:proofErr w:type="spellEnd"/>
      <w:r w:rsidR="00347B8F" w:rsidRPr="005441BB">
        <w:rPr>
          <w:rFonts w:eastAsia="Calibri" w:cstheme="minorHAnsi"/>
          <w:sz w:val="20"/>
          <w:szCs w:val="20"/>
          <w:lang w:val="es-ES"/>
        </w:rPr>
        <w:t xml:space="preserve"> era </w:t>
      </w:r>
      <w:r w:rsidRPr="005441BB">
        <w:rPr>
          <w:rFonts w:eastAsia="Calibri" w:cstheme="minorHAnsi"/>
          <w:sz w:val="20"/>
          <w:szCs w:val="20"/>
          <w:lang w:val="es-ES"/>
        </w:rPr>
        <w:t xml:space="preserve">influenciada pelo tipo de </w:t>
      </w:r>
      <w:proofErr w:type="spellStart"/>
      <w:r w:rsidRPr="005441BB">
        <w:rPr>
          <w:rFonts w:eastAsia="Calibri" w:cstheme="minorHAnsi"/>
          <w:sz w:val="20"/>
          <w:szCs w:val="20"/>
          <w:lang w:val="es-ES"/>
        </w:rPr>
        <w:t>dependência</w:t>
      </w:r>
      <w:proofErr w:type="spellEnd"/>
      <w:r w:rsidRPr="005441BB">
        <w:rPr>
          <w:rFonts w:eastAsia="Calibri" w:cstheme="minorHAnsi"/>
          <w:sz w:val="20"/>
          <w:szCs w:val="20"/>
          <w:lang w:val="es-ES"/>
        </w:rPr>
        <w:t xml:space="preserve"> química</w:t>
      </w:r>
      <w:r w:rsidR="00347B8F" w:rsidRPr="005441BB">
        <w:rPr>
          <w:rFonts w:eastAsia="Calibri" w:cstheme="minorHAnsi"/>
          <w:sz w:val="20"/>
          <w:szCs w:val="20"/>
          <w:lang w:val="es-ES"/>
        </w:rPr>
        <w:t xml:space="preserve">; que </w:t>
      </w:r>
      <w:r w:rsidRPr="005441BB">
        <w:rPr>
          <w:rFonts w:eastAsia="Calibri" w:cstheme="minorHAnsi"/>
          <w:sz w:val="20"/>
          <w:szCs w:val="20"/>
          <w:lang w:val="es-ES"/>
        </w:rPr>
        <w:t xml:space="preserve">os participantes do sexo </w:t>
      </w:r>
      <w:proofErr w:type="spellStart"/>
      <w:r w:rsidRPr="005441BB">
        <w:rPr>
          <w:rFonts w:eastAsia="Calibri" w:cstheme="minorHAnsi"/>
          <w:sz w:val="20"/>
          <w:szCs w:val="20"/>
          <w:lang w:val="es-ES"/>
        </w:rPr>
        <w:t>feminino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não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ativos</w:t>
      </w:r>
      <w:proofErr w:type="spellEnd"/>
      <w:r w:rsidRPr="005441BB">
        <w:rPr>
          <w:rFonts w:eastAsia="Calibri" w:cstheme="minorHAnsi"/>
          <w:sz w:val="20"/>
          <w:szCs w:val="20"/>
          <w:lang w:val="es-ES"/>
        </w:rPr>
        <w:t xml:space="preserve">, que </w:t>
      </w:r>
      <w:proofErr w:type="spellStart"/>
      <w:r w:rsidRPr="005441BB">
        <w:rPr>
          <w:rFonts w:eastAsia="Calibri" w:cstheme="minorHAnsi"/>
          <w:sz w:val="20"/>
          <w:szCs w:val="20"/>
          <w:lang w:val="es-ES"/>
        </w:rPr>
        <w:t>viviam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sozinhos</w:t>
      </w:r>
      <w:proofErr w:type="spellEnd"/>
      <w:r w:rsidRPr="005441BB">
        <w:rPr>
          <w:rFonts w:eastAsia="Calibri" w:cstheme="minorHAnsi"/>
          <w:sz w:val="20"/>
          <w:szCs w:val="20"/>
          <w:lang w:val="es-ES"/>
        </w:rPr>
        <w:t xml:space="preserve">, </w:t>
      </w:r>
      <w:proofErr w:type="spellStart"/>
      <w:r w:rsidR="00FE0F05" w:rsidRPr="005441BB">
        <w:rPr>
          <w:rFonts w:eastAsia="Calibri" w:cstheme="minorHAnsi"/>
          <w:sz w:val="20"/>
          <w:szCs w:val="20"/>
          <w:lang w:val="es-ES"/>
        </w:rPr>
        <w:t>com</w:t>
      </w:r>
      <w:proofErr w:type="spellEnd"/>
      <w:r w:rsidR="00FE0F05" w:rsidRPr="005441BB">
        <w:rPr>
          <w:rFonts w:eastAsia="Calibri" w:cstheme="minorHAnsi"/>
          <w:sz w:val="20"/>
          <w:szCs w:val="20"/>
          <w:lang w:val="es-ES"/>
        </w:rPr>
        <w:t xml:space="preserve"> </w:t>
      </w:r>
      <w:proofErr w:type="spellStart"/>
      <w:r w:rsidRPr="005441BB">
        <w:rPr>
          <w:rFonts w:eastAsia="Calibri" w:cstheme="minorHAnsi"/>
          <w:sz w:val="20"/>
          <w:szCs w:val="20"/>
          <w:lang w:val="es-ES"/>
        </w:rPr>
        <w:t>tratamentos</w:t>
      </w:r>
      <w:proofErr w:type="spellEnd"/>
      <w:r w:rsidRPr="005441BB">
        <w:rPr>
          <w:rFonts w:eastAsia="Calibri" w:cstheme="minorHAnsi"/>
          <w:sz w:val="20"/>
          <w:szCs w:val="20"/>
          <w:lang w:val="es-ES"/>
        </w:rPr>
        <w:t xml:space="preserve"> de </w:t>
      </w:r>
      <w:proofErr w:type="spellStart"/>
      <w:r w:rsidRPr="005441BB">
        <w:rPr>
          <w:rFonts w:eastAsia="Calibri" w:cstheme="minorHAnsi"/>
          <w:sz w:val="20"/>
          <w:szCs w:val="20"/>
          <w:lang w:val="es-ES"/>
        </w:rPr>
        <w:lastRenderedPageBreak/>
        <w:t>desabituação</w:t>
      </w:r>
      <w:proofErr w:type="spellEnd"/>
      <w:r w:rsidR="00FE0F05" w:rsidRPr="005441BB">
        <w:rPr>
          <w:rFonts w:eastAsia="Calibri" w:cstheme="minorHAnsi"/>
          <w:sz w:val="20"/>
          <w:szCs w:val="20"/>
          <w:lang w:val="es-ES"/>
        </w:rPr>
        <w:t xml:space="preserve"> anteriores</w:t>
      </w:r>
      <w:r w:rsidRPr="005441BB">
        <w:rPr>
          <w:rFonts w:eastAsia="Calibri" w:cstheme="minorHAnsi"/>
          <w:sz w:val="20"/>
          <w:szCs w:val="20"/>
          <w:lang w:val="es-ES"/>
        </w:rPr>
        <w:t xml:space="preserve">, e que </w:t>
      </w:r>
      <w:proofErr w:type="spellStart"/>
      <w:r w:rsidRPr="005441BB">
        <w:rPr>
          <w:rFonts w:eastAsia="Calibri" w:cstheme="minorHAnsi"/>
          <w:sz w:val="20"/>
          <w:szCs w:val="20"/>
          <w:lang w:val="es-ES"/>
        </w:rPr>
        <w:t>mantinham</w:t>
      </w:r>
      <w:proofErr w:type="spellEnd"/>
      <w:r w:rsidRPr="005441BB">
        <w:rPr>
          <w:rFonts w:eastAsia="Calibri" w:cstheme="minorHAnsi"/>
          <w:sz w:val="20"/>
          <w:szCs w:val="20"/>
          <w:lang w:val="es-ES"/>
        </w:rPr>
        <w:t xml:space="preserve"> consumos, </w:t>
      </w:r>
      <w:proofErr w:type="spellStart"/>
      <w:r w:rsidRPr="005441BB">
        <w:rPr>
          <w:rFonts w:eastAsia="Calibri" w:cstheme="minorHAnsi"/>
          <w:sz w:val="20"/>
          <w:szCs w:val="20"/>
          <w:lang w:val="es-ES"/>
        </w:rPr>
        <w:t>apresentavam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uma</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perceção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mais</w:t>
      </w:r>
      <w:proofErr w:type="spellEnd"/>
      <w:r w:rsidRPr="005441BB">
        <w:rPr>
          <w:rFonts w:eastAsia="Calibri" w:cstheme="minorHAnsi"/>
          <w:sz w:val="20"/>
          <w:szCs w:val="20"/>
          <w:lang w:val="es-ES"/>
        </w:rPr>
        <w:t xml:space="preserve"> negativa sobre a </w:t>
      </w:r>
      <w:proofErr w:type="spellStart"/>
      <w:r w:rsidRPr="005441BB">
        <w:rPr>
          <w:rFonts w:eastAsia="Calibri" w:cstheme="minorHAnsi"/>
          <w:sz w:val="20"/>
          <w:szCs w:val="20"/>
          <w:lang w:val="es-ES"/>
        </w:rPr>
        <w:t>sua</w:t>
      </w:r>
      <w:proofErr w:type="spellEnd"/>
      <w:r w:rsidRPr="005441BB">
        <w:rPr>
          <w:rFonts w:eastAsia="Calibri" w:cstheme="minorHAnsi"/>
          <w:sz w:val="20"/>
          <w:szCs w:val="20"/>
          <w:lang w:val="es-ES"/>
        </w:rPr>
        <w:t xml:space="preserve"> </w:t>
      </w:r>
      <w:r w:rsidR="00347B8F" w:rsidRPr="005441BB">
        <w:rPr>
          <w:rFonts w:eastAsia="Calibri" w:cstheme="minorHAnsi"/>
          <w:sz w:val="20"/>
          <w:szCs w:val="20"/>
          <w:lang w:val="es-ES"/>
        </w:rPr>
        <w:t>QV</w:t>
      </w:r>
      <w:r w:rsidRPr="005441BB">
        <w:rPr>
          <w:rFonts w:eastAsia="Calibri" w:cstheme="minorHAnsi"/>
          <w:sz w:val="20"/>
          <w:szCs w:val="20"/>
          <w:lang w:val="es-ES"/>
        </w:rPr>
        <w:t xml:space="preserve">. </w:t>
      </w:r>
    </w:p>
    <w:p w:rsidR="00347B8F" w:rsidRPr="005441BB" w:rsidRDefault="00684F82" w:rsidP="00EF4154">
      <w:pPr>
        <w:spacing w:after="0" w:line="360" w:lineRule="auto"/>
        <w:ind w:left="284"/>
        <w:rPr>
          <w:rFonts w:eastAsia="Calibri" w:cstheme="minorHAnsi"/>
          <w:sz w:val="20"/>
          <w:szCs w:val="20"/>
          <w:lang w:val="es-ES"/>
        </w:rPr>
      </w:pPr>
      <w:proofErr w:type="spellStart"/>
      <w:r w:rsidRPr="005441BB">
        <w:rPr>
          <w:rFonts w:eastAsia="Calibri" w:cstheme="minorHAnsi"/>
          <w:sz w:val="20"/>
          <w:szCs w:val="20"/>
          <w:lang w:val="es-ES"/>
        </w:rPr>
        <w:t>Conclusões</w:t>
      </w:r>
      <w:proofErr w:type="spellEnd"/>
      <w:r w:rsidRPr="005441BB">
        <w:rPr>
          <w:rFonts w:eastAsia="Calibri" w:cstheme="minorHAnsi"/>
          <w:sz w:val="20"/>
          <w:szCs w:val="20"/>
          <w:lang w:val="es-ES"/>
        </w:rPr>
        <w:t xml:space="preserve">: Este </w:t>
      </w:r>
      <w:proofErr w:type="spellStart"/>
      <w:r w:rsidRPr="005441BB">
        <w:rPr>
          <w:rFonts w:eastAsia="Calibri" w:cstheme="minorHAnsi"/>
          <w:sz w:val="20"/>
          <w:szCs w:val="20"/>
          <w:lang w:val="es-ES"/>
        </w:rPr>
        <w:t>estudo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permitiu</w:t>
      </w:r>
      <w:proofErr w:type="spellEnd"/>
      <w:r w:rsidRPr="005441BB">
        <w:rPr>
          <w:rFonts w:eastAsia="Calibri" w:cstheme="minorHAnsi"/>
          <w:sz w:val="20"/>
          <w:szCs w:val="20"/>
          <w:lang w:val="es-ES"/>
        </w:rPr>
        <w:t xml:space="preserve">-nos identificar grupos de </w:t>
      </w:r>
      <w:proofErr w:type="spellStart"/>
      <w:r w:rsidRPr="005441BB">
        <w:rPr>
          <w:rFonts w:eastAsia="Calibri" w:cstheme="minorHAnsi"/>
          <w:sz w:val="20"/>
          <w:szCs w:val="20"/>
          <w:lang w:val="es-ES"/>
        </w:rPr>
        <w:t>pessoas</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com</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maior</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vulnerabilidade</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com</w:t>
      </w:r>
      <w:proofErr w:type="spellEnd"/>
      <w:r w:rsidRPr="005441BB">
        <w:rPr>
          <w:rFonts w:eastAsia="Calibri" w:cstheme="minorHAnsi"/>
          <w:sz w:val="20"/>
          <w:szCs w:val="20"/>
          <w:lang w:val="es-ES"/>
        </w:rPr>
        <w:t xml:space="preserve"> vista </w:t>
      </w:r>
      <w:proofErr w:type="spellStart"/>
      <w:r w:rsidRPr="005441BB">
        <w:rPr>
          <w:rFonts w:eastAsia="Calibri" w:cstheme="minorHAnsi"/>
          <w:sz w:val="20"/>
          <w:szCs w:val="20"/>
          <w:lang w:val="es-ES"/>
        </w:rPr>
        <w:t>ao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planeamento</w:t>
      </w:r>
      <w:proofErr w:type="spellEnd"/>
      <w:r w:rsidRPr="005441BB">
        <w:rPr>
          <w:rFonts w:eastAsia="Calibri" w:cstheme="minorHAnsi"/>
          <w:sz w:val="20"/>
          <w:szCs w:val="20"/>
          <w:lang w:val="es-ES"/>
        </w:rPr>
        <w:t xml:space="preserve"> de programas de </w:t>
      </w:r>
      <w:proofErr w:type="spellStart"/>
      <w:r w:rsidRPr="005441BB">
        <w:rPr>
          <w:rFonts w:eastAsia="Calibri" w:cstheme="minorHAnsi"/>
          <w:sz w:val="20"/>
          <w:szCs w:val="20"/>
          <w:lang w:val="es-ES"/>
        </w:rPr>
        <w:t>intervenção</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mais</w:t>
      </w:r>
      <w:proofErr w:type="spellEnd"/>
      <w:r w:rsidR="00347B8F" w:rsidRPr="005441BB">
        <w:rPr>
          <w:rFonts w:eastAsia="Calibri" w:cstheme="minorHAnsi"/>
          <w:sz w:val="20"/>
          <w:szCs w:val="20"/>
          <w:lang w:val="es-ES"/>
        </w:rPr>
        <w:t xml:space="preserve"> </w:t>
      </w:r>
      <w:proofErr w:type="spellStart"/>
      <w:r w:rsidR="00FE0F05" w:rsidRPr="005441BB">
        <w:rPr>
          <w:rFonts w:eastAsia="Calibri" w:cstheme="minorHAnsi"/>
          <w:sz w:val="20"/>
          <w:szCs w:val="20"/>
          <w:lang w:val="es-ES"/>
        </w:rPr>
        <w:t>efetivos</w:t>
      </w:r>
      <w:proofErr w:type="spellEnd"/>
      <w:r w:rsidR="00347B8F" w:rsidRPr="005441BB">
        <w:rPr>
          <w:rFonts w:eastAsia="Calibri" w:cstheme="minorHAnsi"/>
          <w:sz w:val="20"/>
          <w:szCs w:val="20"/>
          <w:lang w:val="es-ES"/>
        </w:rPr>
        <w:t>.</w:t>
      </w:r>
    </w:p>
    <w:p w:rsidR="00347B8F" w:rsidRPr="005441BB" w:rsidRDefault="00684F82" w:rsidP="00EF4154">
      <w:pPr>
        <w:spacing w:after="0" w:line="360" w:lineRule="auto"/>
        <w:ind w:left="284"/>
        <w:rPr>
          <w:rFonts w:eastAsia="Calibri" w:cstheme="minorHAnsi"/>
          <w:sz w:val="20"/>
          <w:szCs w:val="20"/>
          <w:lang w:val="es-ES"/>
        </w:rPr>
      </w:pPr>
      <w:r w:rsidRPr="005441BB">
        <w:rPr>
          <w:rFonts w:eastAsia="Calibri" w:cstheme="minorHAnsi"/>
          <w:sz w:val="20"/>
          <w:szCs w:val="20"/>
          <w:lang w:val="es-ES"/>
        </w:rPr>
        <w:t xml:space="preserve"> </w:t>
      </w:r>
    </w:p>
    <w:p w:rsidR="003C4FCB" w:rsidRPr="005441BB" w:rsidRDefault="00684F82" w:rsidP="00EF4154">
      <w:pPr>
        <w:spacing w:after="0" w:line="360" w:lineRule="auto"/>
        <w:ind w:left="284"/>
        <w:rPr>
          <w:rFonts w:eastAsia="Calibri" w:cstheme="minorHAnsi"/>
          <w:sz w:val="20"/>
          <w:szCs w:val="20"/>
          <w:lang w:val="es-ES"/>
        </w:rPr>
      </w:pPr>
      <w:proofErr w:type="spellStart"/>
      <w:r w:rsidRPr="005441BB">
        <w:rPr>
          <w:rFonts w:eastAsia="Calibri" w:cstheme="minorHAnsi"/>
          <w:sz w:val="20"/>
          <w:szCs w:val="20"/>
          <w:lang w:val="es-ES"/>
        </w:rPr>
        <w:t>Palavras</w:t>
      </w:r>
      <w:proofErr w:type="spellEnd"/>
      <w:r w:rsidRPr="005441BB">
        <w:rPr>
          <w:rFonts w:eastAsia="Calibri" w:cstheme="minorHAnsi"/>
          <w:sz w:val="20"/>
          <w:szCs w:val="20"/>
          <w:lang w:val="es-ES"/>
        </w:rPr>
        <w:t xml:space="preserve">-Chave: </w:t>
      </w:r>
      <w:r w:rsidR="00905025" w:rsidRPr="005441BB">
        <w:rPr>
          <w:rFonts w:eastAsia="Calibri" w:cstheme="minorHAnsi"/>
          <w:sz w:val="20"/>
          <w:szCs w:val="20"/>
          <w:lang w:val="es-ES"/>
        </w:rPr>
        <w:t>“</w:t>
      </w:r>
      <w:proofErr w:type="spellStart"/>
      <w:r w:rsidRPr="005441BB">
        <w:rPr>
          <w:rFonts w:eastAsia="Calibri" w:cstheme="minorHAnsi"/>
          <w:sz w:val="20"/>
          <w:szCs w:val="20"/>
          <w:lang w:val="es-ES"/>
        </w:rPr>
        <w:t>Transtornos</w:t>
      </w:r>
      <w:proofErr w:type="spellEnd"/>
      <w:r w:rsidRPr="005441BB">
        <w:rPr>
          <w:rFonts w:eastAsia="Calibri" w:cstheme="minorHAnsi"/>
          <w:sz w:val="20"/>
          <w:szCs w:val="20"/>
          <w:lang w:val="es-ES"/>
        </w:rPr>
        <w:t xml:space="preserve"> relacionados </w:t>
      </w:r>
      <w:proofErr w:type="spellStart"/>
      <w:r w:rsidRPr="005441BB">
        <w:rPr>
          <w:rFonts w:eastAsia="Calibri" w:cstheme="minorHAnsi"/>
          <w:sz w:val="20"/>
          <w:szCs w:val="20"/>
          <w:lang w:val="es-ES"/>
        </w:rPr>
        <w:t>ao</w:t>
      </w:r>
      <w:proofErr w:type="spellEnd"/>
      <w:r w:rsidRPr="005441BB">
        <w:rPr>
          <w:rFonts w:eastAsia="Calibri" w:cstheme="minorHAnsi"/>
          <w:sz w:val="20"/>
          <w:szCs w:val="20"/>
          <w:lang w:val="es-ES"/>
        </w:rPr>
        <w:t xml:space="preserve"> uso de </w:t>
      </w:r>
      <w:proofErr w:type="spellStart"/>
      <w:r w:rsidRPr="005441BB">
        <w:rPr>
          <w:rFonts w:eastAsia="Calibri" w:cstheme="minorHAnsi"/>
          <w:sz w:val="20"/>
          <w:szCs w:val="20"/>
          <w:lang w:val="es-ES"/>
        </w:rPr>
        <w:t>substâncias</w:t>
      </w:r>
      <w:proofErr w:type="spellEnd"/>
      <w:r w:rsidR="00905025" w:rsidRPr="005441BB">
        <w:rPr>
          <w:rFonts w:eastAsia="Calibri" w:cstheme="minorHAnsi"/>
          <w:sz w:val="20"/>
          <w:szCs w:val="20"/>
          <w:lang w:val="es-ES"/>
        </w:rPr>
        <w:t>”</w:t>
      </w:r>
      <w:r w:rsidRPr="005441BB">
        <w:rPr>
          <w:rFonts w:eastAsia="Calibri" w:cstheme="minorHAnsi"/>
          <w:sz w:val="20"/>
          <w:szCs w:val="20"/>
          <w:lang w:val="es-ES"/>
        </w:rPr>
        <w:t xml:space="preserve">; </w:t>
      </w:r>
      <w:r w:rsidR="00905025" w:rsidRPr="005441BB">
        <w:rPr>
          <w:rFonts w:eastAsia="Calibri" w:cstheme="minorHAnsi"/>
          <w:sz w:val="20"/>
          <w:szCs w:val="20"/>
          <w:lang w:val="es-ES"/>
        </w:rPr>
        <w:t>“</w:t>
      </w:r>
      <w:proofErr w:type="spellStart"/>
      <w:r w:rsidRPr="005441BB">
        <w:rPr>
          <w:rFonts w:eastAsia="Calibri" w:cstheme="minorHAnsi"/>
          <w:sz w:val="20"/>
          <w:szCs w:val="20"/>
          <w:lang w:val="es-ES"/>
        </w:rPr>
        <w:t>Qualidade</w:t>
      </w:r>
      <w:proofErr w:type="spellEnd"/>
      <w:r w:rsidRPr="005441BB">
        <w:rPr>
          <w:rFonts w:eastAsia="Calibri" w:cstheme="minorHAnsi"/>
          <w:sz w:val="20"/>
          <w:szCs w:val="20"/>
          <w:lang w:val="es-ES"/>
        </w:rPr>
        <w:t xml:space="preserve"> de vida</w:t>
      </w:r>
      <w:r w:rsidR="00905025" w:rsidRPr="005441BB">
        <w:rPr>
          <w:rFonts w:eastAsia="Calibri" w:cstheme="minorHAnsi"/>
          <w:sz w:val="20"/>
          <w:szCs w:val="20"/>
          <w:lang w:val="es-ES"/>
        </w:rPr>
        <w:t>”</w:t>
      </w:r>
      <w:r w:rsidRPr="005441BB">
        <w:rPr>
          <w:rFonts w:eastAsia="Calibri" w:cstheme="minorHAnsi"/>
          <w:sz w:val="20"/>
          <w:szCs w:val="20"/>
          <w:lang w:val="es-ES"/>
        </w:rPr>
        <w:t xml:space="preserve">; </w:t>
      </w:r>
      <w:r w:rsidR="00905025" w:rsidRPr="005441BB">
        <w:rPr>
          <w:rFonts w:eastAsia="Calibri" w:cstheme="minorHAnsi"/>
          <w:sz w:val="20"/>
          <w:szCs w:val="20"/>
          <w:lang w:val="es-ES"/>
        </w:rPr>
        <w:t>“</w:t>
      </w:r>
      <w:r w:rsidRPr="005441BB">
        <w:rPr>
          <w:rFonts w:eastAsia="Calibri" w:cstheme="minorHAnsi"/>
          <w:sz w:val="20"/>
          <w:szCs w:val="20"/>
          <w:lang w:val="es-ES"/>
        </w:rPr>
        <w:t>Enfermagem</w:t>
      </w:r>
      <w:r w:rsidR="00905025" w:rsidRPr="005441BB">
        <w:rPr>
          <w:rFonts w:eastAsia="Calibri" w:cstheme="minorHAnsi"/>
          <w:sz w:val="20"/>
          <w:szCs w:val="20"/>
          <w:lang w:val="es-ES"/>
        </w:rPr>
        <w:t>”</w:t>
      </w:r>
    </w:p>
    <w:p w:rsidR="00347B8F" w:rsidRPr="005441BB" w:rsidRDefault="00347B8F" w:rsidP="00EF4154">
      <w:pPr>
        <w:spacing w:after="0" w:line="360" w:lineRule="auto"/>
        <w:ind w:left="284"/>
        <w:rPr>
          <w:rFonts w:eastAsia="Calibri" w:cstheme="minorHAnsi"/>
          <w:sz w:val="20"/>
          <w:szCs w:val="20"/>
          <w:lang w:val="es-ES"/>
        </w:rPr>
      </w:pPr>
    </w:p>
    <w:p w:rsidR="00347B8F" w:rsidRPr="005441BB" w:rsidRDefault="00347B8F" w:rsidP="00EF4154">
      <w:pPr>
        <w:spacing w:after="0" w:line="360" w:lineRule="auto"/>
        <w:ind w:left="284"/>
        <w:rPr>
          <w:rFonts w:eastAsia="Calibri" w:cstheme="minorHAnsi"/>
          <w:sz w:val="20"/>
          <w:szCs w:val="20"/>
          <w:lang w:val="es-ES"/>
        </w:rPr>
      </w:pPr>
    </w:p>
    <w:p w:rsidR="00347B8F" w:rsidRPr="005441BB" w:rsidRDefault="00347B8F" w:rsidP="00EF4154">
      <w:pPr>
        <w:spacing w:after="0" w:line="360" w:lineRule="auto"/>
        <w:ind w:left="284"/>
        <w:rPr>
          <w:rFonts w:eastAsia="Calibri" w:cstheme="minorHAnsi"/>
          <w:b/>
          <w:sz w:val="20"/>
          <w:szCs w:val="20"/>
          <w:lang w:val="es-ES"/>
        </w:rPr>
      </w:pPr>
      <w:r w:rsidRPr="005441BB">
        <w:rPr>
          <w:rFonts w:eastAsia="Calibri" w:cstheme="minorHAnsi"/>
          <w:b/>
          <w:sz w:val="20"/>
          <w:szCs w:val="20"/>
          <w:lang w:val="es-ES"/>
        </w:rPr>
        <w:t>ABSTRACT</w:t>
      </w:r>
    </w:p>
    <w:p w:rsidR="00894A3B" w:rsidRPr="005441BB" w:rsidRDefault="00FE0F05" w:rsidP="00EF4154">
      <w:pPr>
        <w:spacing w:after="0" w:line="360" w:lineRule="auto"/>
        <w:ind w:left="284"/>
        <w:rPr>
          <w:rFonts w:eastAsia="Calibri" w:cstheme="minorHAnsi"/>
          <w:sz w:val="20"/>
          <w:szCs w:val="20"/>
          <w:lang w:val="en-GB"/>
        </w:rPr>
      </w:pPr>
      <w:r w:rsidRPr="005441BB">
        <w:rPr>
          <w:rFonts w:cstheme="minorHAnsi"/>
          <w:color w:val="222222"/>
          <w:sz w:val="20"/>
          <w:szCs w:val="20"/>
          <w:lang w:val="en"/>
        </w:rPr>
        <w:t xml:space="preserve">Introduction: Drug addiction affects the lives of many people, and statistical data, though scarce, show the extent of the problem, which usually begins at an early age and continues throughout life, with implications for health and quality of life. </w:t>
      </w:r>
      <w:proofErr w:type="gramStart"/>
      <w:r w:rsidRPr="005441BB">
        <w:rPr>
          <w:rFonts w:cstheme="minorHAnsi"/>
          <w:color w:val="222222"/>
          <w:sz w:val="20"/>
          <w:szCs w:val="20"/>
          <w:lang w:val="en"/>
        </w:rPr>
        <w:t>life</w:t>
      </w:r>
      <w:proofErr w:type="gramEnd"/>
      <w:r w:rsidRPr="005441BB">
        <w:rPr>
          <w:rFonts w:cstheme="minorHAnsi"/>
          <w:color w:val="222222"/>
          <w:sz w:val="20"/>
          <w:szCs w:val="20"/>
          <w:lang w:val="en"/>
        </w:rPr>
        <w:t>.</w:t>
      </w:r>
      <w:r w:rsidRPr="005441BB">
        <w:rPr>
          <w:rFonts w:cstheme="minorHAnsi"/>
          <w:color w:val="222222"/>
          <w:sz w:val="20"/>
          <w:szCs w:val="20"/>
          <w:lang w:val="en"/>
        </w:rPr>
        <w:br/>
        <w:t>Objectives: to evaluate the perception of quality of life (</w:t>
      </w:r>
      <w:proofErr w:type="spellStart"/>
      <w:r w:rsidRPr="005441BB">
        <w:rPr>
          <w:rFonts w:cstheme="minorHAnsi"/>
          <w:color w:val="222222"/>
          <w:sz w:val="20"/>
          <w:szCs w:val="20"/>
          <w:lang w:val="en"/>
        </w:rPr>
        <w:t>QoL</w:t>
      </w:r>
      <w:proofErr w:type="spellEnd"/>
      <w:r w:rsidRPr="005441BB">
        <w:rPr>
          <w:rFonts w:cstheme="minorHAnsi"/>
          <w:color w:val="222222"/>
          <w:sz w:val="20"/>
          <w:szCs w:val="20"/>
          <w:lang w:val="en"/>
        </w:rPr>
        <w:t xml:space="preserve">) of people with addictive problems; Compare this perception between those who depend on licit and illicit drugs; </w:t>
      </w:r>
      <w:proofErr w:type="gramStart"/>
      <w:r w:rsidRPr="005441BB">
        <w:rPr>
          <w:rFonts w:cstheme="minorHAnsi"/>
          <w:color w:val="222222"/>
          <w:sz w:val="20"/>
          <w:szCs w:val="20"/>
          <w:lang w:val="en"/>
        </w:rPr>
        <w:t>And</w:t>
      </w:r>
      <w:proofErr w:type="gramEnd"/>
      <w:r w:rsidRPr="005441BB">
        <w:rPr>
          <w:rFonts w:cstheme="minorHAnsi"/>
          <w:color w:val="222222"/>
          <w:sz w:val="20"/>
          <w:szCs w:val="20"/>
          <w:lang w:val="en"/>
        </w:rPr>
        <w:t xml:space="preserve"> describe the differences, considering the sociodemographic, health and treatment variables.</w:t>
      </w:r>
      <w:r w:rsidRPr="005441BB">
        <w:rPr>
          <w:rFonts w:cstheme="minorHAnsi"/>
          <w:color w:val="222222"/>
          <w:sz w:val="20"/>
          <w:szCs w:val="20"/>
          <w:lang w:val="en"/>
        </w:rPr>
        <w:br/>
        <w:t xml:space="preserve">Methods: We developed a quantitative, descriptive and cross-sectional study with a sample of 108 people in treatment of withdrawal in the District of Porto. The sample, mostly male, with a mean age of 45 years and low schooling, had a long history of substance use, especially in </w:t>
      </w:r>
      <w:proofErr w:type="spellStart"/>
      <w:r w:rsidRPr="005441BB">
        <w:rPr>
          <w:rFonts w:cstheme="minorHAnsi"/>
          <w:color w:val="222222"/>
          <w:sz w:val="20"/>
          <w:szCs w:val="20"/>
          <w:lang w:val="en"/>
        </w:rPr>
        <w:t>polyconsumes</w:t>
      </w:r>
      <w:proofErr w:type="spellEnd"/>
      <w:r w:rsidRPr="005441BB">
        <w:rPr>
          <w:rFonts w:cstheme="minorHAnsi"/>
          <w:color w:val="222222"/>
          <w:sz w:val="20"/>
          <w:szCs w:val="20"/>
          <w:lang w:val="en"/>
        </w:rPr>
        <w:t>, starting at very early ages.</w:t>
      </w:r>
      <w:r w:rsidRPr="005441BB">
        <w:rPr>
          <w:rFonts w:cstheme="minorHAnsi"/>
          <w:color w:val="222222"/>
          <w:sz w:val="20"/>
          <w:szCs w:val="20"/>
          <w:lang w:val="en"/>
        </w:rPr>
        <w:br/>
        <w:t xml:space="preserve">Results: From the data analysis (using the Quality of Life Index) we can infer that the sample had a positive perception about its </w:t>
      </w:r>
      <w:proofErr w:type="spellStart"/>
      <w:r w:rsidRPr="005441BB">
        <w:rPr>
          <w:rFonts w:cstheme="minorHAnsi"/>
          <w:color w:val="222222"/>
          <w:sz w:val="20"/>
          <w:szCs w:val="20"/>
          <w:lang w:val="en"/>
        </w:rPr>
        <w:t>QoL</w:t>
      </w:r>
      <w:proofErr w:type="spellEnd"/>
      <w:r w:rsidRPr="005441BB">
        <w:rPr>
          <w:rFonts w:cstheme="minorHAnsi"/>
          <w:color w:val="222222"/>
          <w:sz w:val="20"/>
          <w:szCs w:val="20"/>
          <w:lang w:val="en"/>
        </w:rPr>
        <w:t xml:space="preserve">; That this evaluation was not influenced by the type of chemical dependence; That the non-active female participants, who lived alone with prior withdrawal treatments and who maintained intakes, presented a more negative perception about their </w:t>
      </w:r>
      <w:proofErr w:type="spellStart"/>
      <w:r w:rsidRPr="005441BB">
        <w:rPr>
          <w:rFonts w:cstheme="minorHAnsi"/>
          <w:color w:val="222222"/>
          <w:sz w:val="20"/>
          <w:szCs w:val="20"/>
          <w:lang w:val="en"/>
        </w:rPr>
        <w:t>QoL</w:t>
      </w:r>
      <w:proofErr w:type="spellEnd"/>
      <w:r w:rsidRPr="005441BB">
        <w:rPr>
          <w:rFonts w:cstheme="minorHAnsi"/>
          <w:color w:val="222222"/>
          <w:sz w:val="20"/>
          <w:szCs w:val="20"/>
          <w:lang w:val="en"/>
        </w:rPr>
        <w:t>.</w:t>
      </w:r>
      <w:r w:rsidRPr="005441BB">
        <w:rPr>
          <w:rFonts w:cstheme="minorHAnsi"/>
          <w:color w:val="222222"/>
          <w:sz w:val="20"/>
          <w:szCs w:val="20"/>
          <w:lang w:val="en"/>
        </w:rPr>
        <w:br/>
        <w:t>Conclusions: This study allowed us to identify groups of people with greater vulnerability, in order to plan more effective intervention programs.</w:t>
      </w:r>
    </w:p>
    <w:p w:rsidR="00894A3B" w:rsidRPr="005441BB" w:rsidRDefault="00894A3B" w:rsidP="00EF4154">
      <w:pPr>
        <w:spacing w:after="0" w:line="360" w:lineRule="auto"/>
        <w:ind w:left="284"/>
        <w:rPr>
          <w:rFonts w:eastAsia="Calibri" w:cstheme="minorHAnsi"/>
          <w:b/>
          <w:sz w:val="20"/>
          <w:szCs w:val="20"/>
          <w:lang w:val="en-GB"/>
        </w:rPr>
      </w:pPr>
    </w:p>
    <w:p w:rsidR="00347B8F" w:rsidRPr="005441BB" w:rsidRDefault="00347B8F" w:rsidP="00EF4154">
      <w:pPr>
        <w:spacing w:after="0" w:line="360" w:lineRule="auto"/>
        <w:ind w:left="284"/>
        <w:rPr>
          <w:rFonts w:eastAsia="Calibri" w:cstheme="minorHAnsi"/>
          <w:sz w:val="20"/>
          <w:szCs w:val="20"/>
          <w:lang w:val="es-ES"/>
        </w:rPr>
      </w:pPr>
      <w:proofErr w:type="spellStart"/>
      <w:r w:rsidRPr="005441BB">
        <w:rPr>
          <w:rFonts w:eastAsia="Calibri" w:cstheme="minorHAnsi"/>
          <w:b/>
          <w:sz w:val="20"/>
          <w:szCs w:val="20"/>
          <w:lang w:val="es-ES"/>
        </w:rPr>
        <w:t>Keywords</w:t>
      </w:r>
      <w:proofErr w:type="spellEnd"/>
      <w:r w:rsidRPr="005441BB">
        <w:rPr>
          <w:rFonts w:eastAsia="Calibri" w:cstheme="minorHAnsi"/>
          <w:sz w:val="20"/>
          <w:szCs w:val="20"/>
          <w:lang w:val="es-ES"/>
        </w:rPr>
        <w:t xml:space="preserve">: </w:t>
      </w:r>
      <w:r w:rsidR="005441BB" w:rsidRPr="005441BB">
        <w:rPr>
          <w:rFonts w:eastAsia="Calibri" w:cstheme="minorHAnsi"/>
          <w:sz w:val="20"/>
          <w:szCs w:val="20"/>
          <w:lang w:val="es-ES"/>
        </w:rPr>
        <w:t>“</w:t>
      </w:r>
      <w:proofErr w:type="spellStart"/>
      <w:r w:rsidRPr="005441BB">
        <w:rPr>
          <w:rFonts w:eastAsia="Calibri" w:cstheme="minorHAnsi"/>
          <w:sz w:val="20"/>
          <w:szCs w:val="20"/>
          <w:lang w:val="es-ES"/>
        </w:rPr>
        <w:t>Substance-related</w:t>
      </w:r>
      <w:proofErr w:type="spellEnd"/>
      <w:r w:rsidRPr="005441BB">
        <w:rPr>
          <w:rFonts w:eastAsia="Calibri" w:cstheme="minorHAnsi"/>
          <w:sz w:val="20"/>
          <w:szCs w:val="20"/>
          <w:lang w:val="es-ES"/>
        </w:rPr>
        <w:t xml:space="preserve"> </w:t>
      </w:r>
      <w:proofErr w:type="spellStart"/>
      <w:r w:rsidRPr="005441BB">
        <w:rPr>
          <w:rFonts w:eastAsia="Calibri" w:cstheme="minorHAnsi"/>
          <w:sz w:val="20"/>
          <w:szCs w:val="20"/>
          <w:lang w:val="es-ES"/>
        </w:rPr>
        <w:t>disorders</w:t>
      </w:r>
      <w:proofErr w:type="spellEnd"/>
      <w:r w:rsidR="005441BB" w:rsidRPr="005441BB">
        <w:rPr>
          <w:rFonts w:eastAsia="Calibri" w:cstheme="minorHAnsi"/>
          <w:sz w:val="20"/>
          <w:szCs w:val="20"/>
          <w:lang w:val="es-ES"/>
        </w:rPr>
        <w:t>”</w:t>
      </w:r>
      <w:r w:rsidRPr="005441BB">
        <w:rPr>
          <w:rFonts w:eastAsia="Calibri" w:cstheme="minorHAnsi"/>
          <w:sz w:val="20"/>
          <w:szCs w:val="20"/>
          <w:lang w:val="es-ES"/>
        </w:rPr>
        <w:t xml:space="preserve">; </w:t>
      </w:r>
      <w:r w:rsidR="005441BB" w:rsidRPr="005441BB">
        <w:rPr>
          <w:rFonts w:eastAsia="Calibri" w:cstheme="minorHAnsi"/>
          <w:sz w:val="20"/>
          <w:szCs w:val="20"/>
          <w:lang w:val="es-ES"/>
        </w:rPr>
        <w:t>“</w:t>
      </w:r>
      <w:proofErr w:type="spellStart"/>
      <w:r w:rsidRPr="005441BB">
        <w:rPr>
          <w:rFonts w:eastAsia="Calibri" w:cstheme="minorHAnsi"/>
          <w:sz w:val="20"/>
          <w:szCs w:val="20"/>
          <w:lang w:val="es-ES"/>
        </w:rPr>
        <w:t>Quality</w:t>
      </w:r>
      <w:proofErr w:type="spellEnd"/>
      <w:r w:rsidRPr="005441BB">
        <w:rPr>
          <w:rFonts w:eastAsia="Calibri" w:cstheme="minorHAnsi"/>
          <w:sz w:val="20"/>
          <w:szCs w:val="20"/>
          <w:lang w:val="es-ES"/>
        </w:rPr>
        <w:t xml:space="preserve"> of </w:t>
      </w:r>
      <w:proofErr w:type="spellStart"/>
      <w:r w:rsidRPr="005441BB">
        <w:rPr>
          <w:rFonts w:eastAsia="Calibri" w:cstheme="minorHAnsi"/>
          <w:sz w:val="20"/>
          <w:szCs w:val="20"/>
          <w:lang w:val="es-ES"/>
        </w:rPr>
        <w:t>life</w:t>
      </w:r>
      <w:proofErr w:type="spellEnd"/>
      <w:r w:rsidR="005441BB" w:rsidRPr="005441BB">
        <w:rPr>
          <w:rFonts w:eastAsia="Calibri" w:cstheme="minorHAnsi"/>
          <w:sz w:val="20"/>
          <w:szCs w:val="20"/>
          <w:lang w:val="es-ES"/>
        </w:rPr>
        <w:t>”</w:t>
      </w:r>
      <w:r w:rsidRPr="005441BB">
        <w:rPr>
          <w:rFonts w:eastAsia="Calibri" w:cstheme="minorHAnsi"/>
          <w:sz w:val="20"/>
          <w:szCs w:val="20"/>
          <w:lang w:val="es-ES"/>
        </w:rPr>
        <w:t xml:space="preserve">; </w:t>
      </w:r>
      <w:r w:rsidR="005441BB" w:rsidRPr="005441BB">
        <w:rPr>
          <w:rFonts w:eastAsia="Calibri" w:cstheme="minorHAnsi"/>
          <w:sz w:val="20"/>
          <w:szCs w:val="20"/>
          <w:lang w:val="es-ES"/>
        </w:rPr>
        <w:t>“</w:t>
      </w:r>
      <w:proofErr w:type="spellStart"/>
      <w:r w:rsidRPr="005441BB">
        <w:rPr>
          <w:rFonts w:eastAsia="Calibri" w:cstheme="minorHAnsi"/>
          <w:sz w:val="20"/>
          <w:szCs w:val="20"/>
          <w:lang w:val="es-ES"/>
        </w:rPr>
        <w:t>Nursing</w:t>
      </w:r>
      <w:proofErr w:type="spellEnd"/>
      <w:r w:rsidR="005441BB" w:rsidRPr="005441BB">
        <w:rPr>
          <w:rFonts w:eastAsia="Calibri" w:cstheme="minorHAnsi"/>
          <w:sz w:val="20"/>
          <w:szCs w:val="20"/>
          <w:lang w:val="es-ES"/>
        </w:rPr>
        <w:t>”</w:t>
      </w:r>
    </w:p>
    <w:p w:rsidR="00347B8F" w:rsidRPr="005441BB" w:rsidRDefault="00347B8F" w:rsidP="00EF4154">
      <w:pPr>
        <w:spacing w:after="0" w:line="360" w:lineRule="auto"/>
        <w:ind w:left="284"/>
        <w:rPr>
          <w:rFonts w:eastAsia="Calibri" w:cstheme="minorHAnsi"/>
          <w:sz w:val="20"/>
          <w:szCs w:val="20"/>
          <w:highlight w:val="yellow"/>
          <w:lang w:val="es-ES"/>
        </w:rPr>
      </w:pPr>
    </w:p>
    <w:p w:rsidR="00347B8F" w:rsidRPr="005441BB" w:rsidRDefault="00347B8F" w:rsidP="00EF4154">
      <w:pPr>
        <w:spacing w:after="0" w:line="360" w:lineRule="auto"/>
        <w:ind w:left="284"/>
        <w:rPr>
          <w:rFonts w:eastAsia="Calibri" w:cstheme="minorHAnsi"/>
          <w:b/>
          <w:sz w:val="20"/>
          <w:szCs w:val="20"/>
          <w:lang w:val="es-ES"/>
        </w:rPr>
      </w:pPr>
      <w:r w:rsidRPr="005441BB">
        <w:rPr>
          <w:rFonts w:eastAsia="Calibri" w:cstheme="minorHAnsi"/>
          <w:b/>
          <w:sz w:val="20"/>
          <w:szCs w:val="20"/>
          <w:lang w:val="es-ES"/>
        </w:rPr>
        <w:t>RESUMEN</w:t>
      </w:r>
    </w:p>
    <w:p w:rsidR="00FE0F05" w:rsidRPr="005441BB" w:rsidRDefault="00FE0F05" w:rsidP="00EF4154">
      <w:pPr>
        <w:spacing w:after="0" w:line="360" w:lineRule="auto"/>
        <w:ind w:left="284"/>
        <w:rPr>
          <w:rFonts w:cstheme="minorHAnsi"/>
          <w:color w:val="222222"/>
          <w:sz w:val="20"/>
          <w:szCs w:val="20"/>
          <w:lang w:val="es-ES"/>
        </w:rPr>
      </w:pPr>
      <w:r w:rsidRPr="005441BB">
        <w:rPr>
          <w:rFonts w:cstheme="minorHAnsi"/>
          <w:color w:val="222222"/>
          <w:sz w:val="20"/>
          <w:szCs w:val="20"/>
          <w:lang w:val="es-ES"/>
        </w:rPr>
        <w:t>Introducción: La toxicomanía afecta la vida de muchas personas y los datos estadísticos, aunque escasos, demuestran el alcance del problema, que se inicia generalmente en edades tempranas y que se mantiene a lo largo de la vida, con implicaciones en su salud y calidad de vida.</w:t>
      </w:r>
    </w:p>
    <w:p w:rsidR="00FE0F05" w:rsidRPr="005441BB" w:rsidRDefault="00FE0F05" w:rsidP="00EF4154">
      <w:pPr>
        <w:spacing w:after="0" w:line="360" w:lineRule="auto"/>
        <w:ind w:left="284"/>
        <w:rPr>
          <w:rFonts w:cstheme="minorHAnsi"/>
          <w:color w:val="222222"/>
          <w:sz w:val="20"/>
          <w:szCs w:val="20"/>
          <w:lang w:val="es-ES"/>
        </w:rPr>
      </w:pPr>
      <w:r w:rsidRPr="005441BB">
        <w:rPr>
          <w:rFonts w:cstheme="minorHAnsi"/>
          <w:color w:val="222222"/>
          <w:sz w:val="20"/>
          <w:szCs w:val="20"/>
          <w:lang w:val="es-ES"/>
        </w:rPr>
        <w:t xml:space="preserve">Objetivos: evaluar la percepción de calidad de vida (QV) de las personas con problemáticas aditivas; </w:t>
      </w:r>
      <w:r w:rsidR="0037531D" w:rsidRPr="005441BB">
        <w:rPr>
          <w:rFonts w:cstheme="minorHAnsi"/>
          <w:color w:val="222222"/>
          <w:sz w:val="20"/>
          <w:szCs w:val="20"/>
          <w:lang w:val="es-ES"/>
        </w:rPr>
        <w:t>c</w:t>
      </w:r>
      <w:r w:rsidRPr="005441BB">
        <w:rPr>
          <w:rFonts w:cstheme="minorHAnsi"/>
          <w:color w:val="222222"/>
          <w:sz w:val="20"/>
          <w:szCs w:val="20"/>
          <w:lang w:val="es-ES"/>
        </w:rPr>
        <w:t xml:space="preserve">omparar esa percepción entre los dependientes de drogas lícitas e ilícitas; </w:t>
      </w:r>
      <w:r w:rsidR="0037531D" w:rsidRPr="005441BB">
        <w:rPr>
          <w:rFonts w:cstheme="minorHAnsi"/>
          <w:color w:val="222222"/>
          <w:sz w:val="20"/>
          <w:szCs w:val="20"/>
          <w:lang w:val="es-ES"/>
        </w:rPr>
        <w:t>y</w:t>
      </w:r>
      <w:r w:rsidRPr="005441BB">
        <w:rPr>
          <w:rFonts w:cstheme="minorHAnsi"/>
          <w:color w:val="222222"/>
          <w:sz w:val="20"/>
          <w:szCs w:val="20"/>
          <w:lang w:val="es-ES"/>
        </w:rPr>
        <w:t xml:space="preserve"> describir las diferencias, considerando las variables sociodemográficas, de salud y de tratamiento.</w:t>
      </w:r>
    </w:p>
    <w:p w:rsidR="00FE0F05" w:rsidRPr="005441BB" w:rsidRDefault="00FE0F05" w:rsidP="00EF4154">
      <w:pPr>
        <w:spacing w:after="0" w:line="360" w:lineRule="auto"/>
        <w:ind w:left="284"/>
        <w:rPr>
          <w:rFonts w:cstheme="minorHAnsi"/>
          <w:color w:val="222222"/>
          <w:sz w:val="20"/>
          <w:szCs w:val="20"/>
          <w:lang w:val="es-ES"/>
        </w:rPr>
      </w:pPr>
      <w:r w:rsidRPr="005441BB">
        <w:rPr>
          <w:rFonts w:cstheme="minorHAnsi"/>
          <w:color w:val="222222"/>
          <w:sz w:val="20"/>
          <w:szCs w:val="20"/>
          <w:lang w:val="es-ES"/>
        </w:rPr>
        <w:t xml:space="preserve">Métodos: Desarrollamos un estudio cuantitativo, descriptivo y transversal con una muestra de 108 personas en tratamiento de deshabituación en el Distrito de Oporto. La muestra, mayoritariamente del </w:t>
      </w:r>
      <w:r w:rsidRPr="005441BB">
        <w:rPr>
          <w:rFonts w:cstheme="minorHAnsi"/>
          <w:color w:val="222222"/>
          <w:sz w:val="20"/>
          <w:szCs w:val="20"/>
          <w:lang w:val="es-ES"/>
        </w:rPr>
        <w:lastRenderedPageBreak/>
        <w:t xml:space="preserve">sexo masculino, con edad media de 45 años y baja escolaridad, presentaba un largo historial de consumo de sustancias, especialmente en </w:t>
      </w:r>
      <w:proofErr w:type="spellStart"/>
      <w:r w:rsidRPr="005441BB">
        <w:rPr>
          <w:rFonts w:cstheme="minorHAnsi"/>
          <w:color w:val="222222"/>
          <w:sz w:val="20"/>
          <w:szCs w:val="20"/>
          <w:lang w:val="es-ES"/>
        </w:rPr>
        <w:t>policonsumos</w:t>
      </w:r>
      <w:proofErr w:type="spellEnd"/>
      <w:r w:rsidRPr="005441BB">
        <w:rPr>
          <w:rFonts w:cstheme="minorHAnsi"/>
          <w:color w:val="222222"/>
          <w:sz w:val="20"/>
          <w:szCs w:val="20"/>
          <w:lang w:val="es-ES"/>
        </w:rPr>
        <w:t>, con inicio en edades muy precoces.</w:t>
      </w:r>
    </w:p>
    <w:p w:rsidR="00FE0F05" w:rsidRPr="005441BB" w:rsidRDefault="00FE0F05" w:rsidP="00EF4154">
      <w:pPr>
        <w:spacing w:after="0" w:line="360" w:lineRule="auto"/>
        <w:ind w:left="284"/>
        <w:rPr>
          <w:rFonts w:cstheme="minorHAnsi"/>
          <w:color w:val="222222"/>
          <w:sz w:val="20"/>
          <w:szCs w:val="20"/>
          <w:lang w:val="es-ES"/>
        </w:rPr>
      </w:pPr>
      <w:r w:rsidRPr="005441BB">
        <w:rPr>
          <w:rFonts w:cstheme="minorHAnsi"/>
          <w:color w:val="222222"/>
          <w:sz w:val="20"/>
          <w:szCs w:val="20"/>
          <w:lang w:val="es-ES"/>
        </w:rPr>
        <w:t xml:space="preserve">Resultados: Del análisis de los datos (utilizando el </w:t>
      </w:r>
      <w:proofErr w:type="spellStart"/>
      <w:r w:rsidRPr="005441BB">
        <w:rPr>
          <w:rFonts w:cstheme="minorHAnsi"/>
          <w:color w:val="222222"/>
          <w:sz w:val="20"/>
          <w:szCs w:val="20"/>
          <w:lang w:val="es-ES"/>
        </w:rPr>
        <w:t>Quality</w:t>
      </w:r>
      <w:proofErr w:type="spellEnd"/>
      <w:r w:rsidRPr="005441BB">
        <w:rPr>
          <w:rFonts w:cstheme="minorHAnsi"/>
          <w:color w:val="222222"/>
          <w:sz w:val="20"/>
          <w:szCs w:val="20"/>
          <w:lang w:val="es-ES"/>
        </w:rPr>
        <w:t xml:space="preserve"> of </w:t>
      </w:r>
      <w:proofErr w:type="spellStart"/>
      <w:r w:rsidRPr="005441BB">
        <w:rPr>
          <w:rFonts w:cstheme="minorHAnsi"/>
          <w:color w:val="222222"/>
          <w:sz w:val="20"/>
          <w:szCs w:val="20"/>
          <w:lang w:val="es-ES"/>
        </w:rPr>
        <w:t>Life</w:t>
      </w:r>
      <w:proofErr w:type="spellEnd"/>
      <w:r w:rsidRPr="005441BB">
        <w:rPr>
          <w:rFonts w:cstheme="minorHAnsi"/>
          <w:color w:val="222222"/>
          <w:sz w:val="20"/>
          <w:szCs w:val="20"/>
          <w:lang w:val="es-ES"/>
        </w:rPr>
        <w:t xml:space="preserve"> Índex) podemos inferir que la muestra tenía una percepción positiva sobre su QV; Que esta evaluación no estaba influenciada por el tipo de dependencia química; Que los participantes del sexo femenino, no activos, que vivían solos, con tratamientos de deshabituación anteriores, y que mantenían consumos, presentaban una percepción más negativa sobre su QV.</w:t>
      </w:r>
    </w:p>
    <w:p w:rsidR="00894A3B" w:rsidRPr="005441BB" w:rsidRDefault="00FE0F05" w:rsidP="00EF4154">
      <w:pPr>
        <w:spacing w:after="0" w:line="360" w:lineRule="auto"/>
        <w:ind w:left="284"/>
        <w:rPr>
          <w:rFonts w:cstheme="minorHAnsi"/>
          <w:color w:val="222222"/>
          <w:sz w:val="20"/>
          <w:szCs w:val="20"/>
          <w:lang w:val="es-ES"/>
        </w:rPr>
      </w:pPr>
      <w:r w:rsidRPr="005441BB">
        <w:rPr>
          <w:rFonts w:cstheme="minorHAnsi"/>
          <w:color w:val="222222"/>
          <w:sz w:val="20"/>
          <w:szCs w:val="20"/>
          <w:lang w:val="es-ES"/>
        </w:rPr>
        <w:t>Conclusiones: Este estudio nos permitió identificar grupos de personas con mayor vulnerabilidad, con vistas a la planificación de programas de intervención más efectivos.</w:t>
      </w:r>
    </w:p>
    <w:p w:rsidR="00347B8F" w:rsidRPr="005441BB" w:rsidRDefault="00347B8F" w:rsidP="00EF4154">
      <w:pPr>
        <w:spacing w:after="0" w:line="360" w:lineRule="auto"/>
        <w:ind w:left="284"/>
        <w:rPr>
          <w:rFonts w:eastAsia="Calibri" w:cstheme="minorHAnsi"/>
          <w:sz w:val="20"/>
          <w:szCs w:val="20"/>
          <w:lang w:val="es-ES"/>
        </w:rPr>
      </w:pPr>
      <w:r w:rsidRPr="005441BB">
        <w:rPr>
          <w:rFonts w:eastAsia="Calibri" w:cstheme="minorHAnsi"/>
          <w:b/>
          <w:sz w:val="20"/>
          <w:szCs w:val="20"/>
          <w:lang w:val="es-ES"/>
        </w:rPr>
        <w:t>Palabras Clave:</w:t>
      </w:r>
      <w:r w:rsidRPr="005441BB">
        <w:rPr>
          <w:rFonts w:eastAsia="Calibri" w:cstheme="minorHAnsi"/>
          <w:sz w:val="20"/>
          <w:szCs w:val="20"/>
          <w:lang w:val="es-ES"/>
        </w:rPr>
        <w:t xml:space="preserve"> </w:t>
      </w:r>
      <w:r w:rsidR="005441BB" w:rsidRPr="005441BB">
        <w:rPr>
          <w:rFonts w:eastAsia="Calibri" w:cstheme="minorHAnsi"/>
          <w:sz w:val="20"/>
          <w:szCs w:val="20"/>
          <w:lang w:val="es-ES"/>
        </w:rPr>
        <w:t>“</w:t>
      </w:r>
      <w:r w:rsidRPr="005441BB">
        <w:rPr>
          <w:rFonts w:eastAsia="Calibri" w:cstheme="minorHAnsi"/>
          <w:sz w:val="20"/>
          <w:szCs w:val="20"/>
          <w:lang w:val="es-ES"/>
        </w:rPr>
        <w:t>Trastornos relacionados con sustancias</w:t>
      </w:r>
      <w:r w:rsidR="005441BB" w:rsidRPr="005441BB">
        <w:rPr>
          <w:rFonts w:eastAsia="Calibri" w:cstheme="minorHAnsi"/>
          <w:sz w:val="20"/>
          <w:szCs w:val="20"/>
          <w:lang w:val="es-ES"/>
        </w:rPr>
        <w:t>”</w:t>
      </w:r>
      <w:r w:rsidRPr="005441BB">
        <w:rPr>
          <w:rFonts w:eastAsia="Calibri" w:cstheme="minorHAnsi"/>
          <w:sz w:val="20"/>
          <w:szCs w:val="20"/>
          <w:lang w:val="es-ES"/>
        </w:rPr>
        <w:t xml:space="preserve">; </w:t>
      </w:r>
      <w:r w:rsidR="005441BB" w:rsidRPr="005441BB">
        <w:rPr>
          <w:rFonts w:eastAsia="Calibri" w:cstheme="minorHAnsi"/>
          <w:sz w:val="20"/>
          <w:szCs w:val="20"/>
          <w:lang w:val="es-ES"/>
        </w:rPr>
        <w:t>“</w:t>
      </w:r>
      <w:r w:rsidRPr="005441BB">
        <w:rPr>
          <w:rFonts w:eastAsia="Calibri" w:cstheme="minorHAnsi"/>
          <w:sz w:val="20"/>
          <w:szCs w:val="20"/>
          <w:lang w:val="es-ES"/>
        </w:rPr>
        <w:t>Calidad de vida</w:t>
      </w:r>
      <w:r w:rsidR="005441BB" w:rsidRPr="005441BB">
        <w:rPr>
          <w:rFonts w:eastAsia="Calibri" w:cstheme="minorHAnsi"/>
          <w:sz w:val="20"/>
          <w:szCs w:val="20"/>
          <w:lang w:val="es-ES"/>
        </w:rPr>
        <w:t>”</w:t>
      </w:r>
      <w:r w:rsidRPr="005441BB">
        <w:rPr>
          <w:rFonts w:eastAsia="Calibri" w:cstheme="minorHAnsi"/>
          <w:sz w:val="20"/>
          <w:szCs w:val="20"/>
          <w:lang w:val="es-ES"/>
        </w:rPr>
        <w:t xml:space="preserve">; </w:t>
      </w:r>
      <w:r w:rsidR="005441BB" w:rsidRPr="005441BB">
        <w:rPr>
          <w:rFonts w:eastAsia="Calibri" w:cstheme="minorHAnsi"/>
          <w:sz w:val="20"/>
          <w:szCs w:val="20"/>
          <w:lang w:val="es-ES"/>
        </w:rPr>
        <w:t>“</w:t>
      </w:r>
      <w:r w:rsidRPr="005441BB">
        <w:rPr>
          <w:rFonts w:eastAsia="Calibri" w:cstheme="minorHAnsi"/>
          <w:sz w:val="20"/>
          <w:szCs w:val="20"/>
          <w:lang w:val="es-ES"/>
        </w:rPr>
        <w:t>Enfermería</w:t>
      </w:r>
      <w:r w:rsidR="005441BB" w:rsidRPr="005441BB">
        <w:rPr>
          <w:rFonts w:eastAsia="Calibri" w:cstheme="minorHAnsi"/>
          <w:sz w:val="20"/>
          <w:szCs w:val="20"/>
          <w:lang w:val="es-ES"/>
        </w:rPr>
        <w:t>”</w:t>
      </w:r>
    </w:p>
    <w:p w:rsidR="00905025" w:rsidRPr="005441BB" w:rsidRDefault="003C4FCB" w:rsidP="00EF4154">
      <w:pPr>
        <w:autoSpaceDE w:val="0"/>
        <w:autoSpaceDN w:val="0"/>
        <w:adjustRightInd w:val="0"/>
        <w:spacing w:after="0" w:line="360" w:lineRule="auto"/>
        <w:ind w:left="284"/>
        <w:rPr>
          <w:rFonts w:eastAsia="Yu Mincho" w:cstheme="minorHAnsi"/>
          <w:b/>
          <w:sz w:val="20"/>
          <w:szCs w:val="20"/>
        </w:rPr>
      </w:pPr>
      <w:r w:rsidRPr="005441BB">
        <w:rPr>
          <w:rFonts w:eastAsia="Calibri" w:cstheme="minorHAnsi"/>
          <w:sz w:val="20"/>
          <w:szCs w:val="20"/>
          <w:lang w:val="es-ES"/>
        </w:rPr>
        <w:br w:type="page"/>
      </w:r>
      <w:r w:rsidR="00905025" w:rsidRPr="005441BB">
        <w:rPr>
          <w:rFonts w:eastAsia="Yu Mincho" w:cstheme="minorHAnsi"/>
          <w:b/>
          <w:sz w:val="20"/>
          <w:szCs w:val="20"/>
        </w:rPr>
        <w:lastRenderedPageBreak/>
        <w:t>Introdução</w:t>
      </w:r>
    </w:p>
    <w:p w:rsidR="00694E5B" w:rsidRDefault="00905025" w:rsidP="00EF4154">
      <w:pPr>
        <w:autoSpaceDE w:val="0"/>
        <w:autoSpaceDN w:val="0"/>
        <w:adjustRightInd w:val="0"/>
        <w:spacing w:after="0" w:line="360" w:lineRule="auto"/>
        <w:ind w:left="284"/>
        <w:rPr>
          <w:rFonts w:eastAsia="Yu Mincho" w:cstheme="minorHAnsi"/>
          <w:sz w:val="20"/>
          <w:szCs w:val="20"/>
        </w:rPr>
      </w:pPr>
      <w:r w:rsidRPr="005441BB">
        <w:rPr>
          <w:rFonts w:eastAsia="Yu Mincho" w:cstheme="minorHAnsi"/>
          <w:sz w:val="20"/>
          <w:szCs w:val="20"/>
        </w:rPr>
        <w:t>A toxicodependência é um fenómeno atual e</w:t>
      </w:r>
      <w:r w:rsidR="00340A65">
        <w:rPr>
          <w:rFonts w:eastAsia="Yu Mincho" w:cstheme="minorHAnsi"/>
          <w:sz w:val="20"/>
          <w:szCs w:val="20"/>
        </w:rPr>
        <w:t xml:space="preserve"> planetário que afeta a vida das pessoas</w:t>
      </w:r>
      <w:r w:rsidR="00B23C5E">
        <w:rPr>
          <w:rFonts w:eastAsia="Yu Mincho" w:cstheme="minorHAnsi"/>
          <w:sz w:val="20"/>
          <w:szCs w:val="20"/>
        </w:rPr>
        <w:t xml:space="preserve">, das </w:t>
      </w:r>
      <w:r w:rsidR="00340A65">
        <w:rPr>
          <w:rFonts w:eastAsia="Yu Mincho" w:cstheme="minorHAnsi"/>
          <w:sz w:val="20"/>
          <w:szCs w:val="20"/>
        </w:rPr>
        <w:t xml:space="preserve">suas famílias e </w:t>
      </w:r>
      <w:r w:rsidR="00B23C5E">
        <w:rPr>
          <w:rFonts w:eastAsia="Yu Mincho" w:cstheme="minorHAnsi"/>
          <w:sz w:val="20"/>
          <w:szCs w:val="20"/>
        </w:rPr>
        <w:t xml:space="preserve">da </w:t>
      </w:r>
      <w:r w:rsidR="00340A65">
        <w:rPr>
          <w:rFonts w:eastAsia="Yu Mincho" w:cstheme="minorHAnsi"/>
          <w:sz w:val="20"/>
          <w:szCs w:val="20"/>
        </w:rPr>
        <w:t>comunidade</w:t>
      </w:r>
      <w:r w:rsidR="00B23C5E">
        <w:rPr>
          <w:rFonts w:eastAsia="Yu Mincho" w:cstheme="minorHAnsi"/>
          <w:sz w:val="20"/>
          <w:szCs w:val="20"/>
        </w:rPr>
        <w:t xml:space="preserve"> em geral</w:t>
      </w:r>
      <w:r w:rsidR="00EF0C95" w:rsidRPr="005441BB">
        <w:rPr>
          <w:rFonts w:eastAsia="Yu Mincho" w:cstheme="minorHAnsi"/>
          <w:sz w:val="20"/>
          <w:szCs w:val="20"/>
        </w:rPr>
        <w:t xml:space="preserve">. </w:t>
      </w:r>
      <w:r w:rsidRPr="005441BB">
        <w:rPr>
          <w:rFonts w:eastAsia="Yu Mincho" w:cstheme="minorHAnsi"/>
          <w:sz w:val="20"/>
          <w:szCs w:val="20"/>
        </w:rPr>
        <w:t>Os dados estatísticos mundiais, embora escassos, demonstram a abrangência do problema, reconhec</w:t>
      </w:r>
      <w:r w:rsidR="00B23C5E">
        <w:rPr>
          <w:rFonts w:eastAsia="Yu Mincho" w:cstheme="minorHAnsi"/>
          <w:sz w:val="20"/>
          <w:szCs w:val="20"/>
        </w:rPr>
        <w:t>endo-a</w:t>
      </w:r>
      <w:r w:rsidRPr="005441BB">
        <w:rPr>
          <w:rFonts w:eastAsia="Yu Mincho" w:cstheme="minorHAnsi"/>
          <w:sz w:val="20"/>
          <w:szCs w:val="20"/>
        </w:rPr>
        <w:t xml:space="preserve"> como uma doença crónica, que se inicia, em geral, em idades muito precoces e que se mantém ao longo de toda a vida</w:t>
      </w:r>
      <w:r w:rsidR="005043F3">
        <w:rPr>
          <w:rFonts w:eastAsia="Yu Mincho" w:cstheme="minorHAnsi"/>
          <w:sz w:val="20"/>
          <w:szCs w:val="20"/>
        </w:rPr>
        <w:t xml:space="preserve"> </w:t>
      </w:r>
      <w:r w:rsidR="005043F3">
        <w:rPr>
          <w:rFonts w:eastAsia="Yu Mincho" w:cstheme="minorHAnsi"/>
          <w:sz w:val="18"/>
          <w:szCs w:val="20"/>
        </w:rPr>
        <w:t>(</w:t>
      </w:r>
      <w:r w:rsidR="000E0E07">
        <w:rPr>
          <w:rFonts w:eastAsia="Yu Mincho" w:cstheme="minorHAnsi"/>
          <w:sz w:val="18"/>
          <w:szCs w:val="20"/>
        </w:rPr>
        <w:t xml:space="preserve">UN, </w:t>
      </w:r>
      <w:r w:rsidR="005043F3" w:rsidRPr="005441BB">
        <w:rPr>
          <w:rFonts w:eastAsia="Yu Mincho" w:cstheme="minorHAnsi"/>
          <w:sz w:val="20"/>
          <w:szCs w:val="20"/>
        </w:rPr>
        <w:t>2016</w:t>
      </w:r>
      <w:r w:rsidR="000E0E07">
        <w:rPr>
          <w:rFonts w:eastAsia="Yu Mincho" w:cstheme="minorHAnsi"/>
          <w:sz w:val="20"/>
          <w:szCs w:val="20"/>
        </w:rPr>
        <w:t>)</w:t>
      </w:r>
      <w:r w:rsidRPr="005441BB">
        <w:rPr>
          <w:rFonts w:eastAsia="Yu Mincho" w:cstheme="minorHAnsi"/>
          <w:sz w:val="20"/>
          <w:szCs w:val="20"/>
        </w:rPr>
        <w:t xml:space="preserve">. </w:t>
      </w:r>
      <w:r w:rsidR="00EF0C95" w:rsidRPr="005441BB">
        <w:rPr>
          <w:rFonts w:eastAsia="Yu Mincho" w:cstheme="minorHAnsi"/>
          <w:sz w:val="20"/>
          <w:szCs w:val="20"/>
        </w:rPr>
        <w:t xml:space="preserve">A compreensão sobre </w:t>
      </w:r>
      <w:r w:rsidR="00550CE4">
        <w:rPr>
          <w:rFonts w:eastAsia="Yu Mincho" w:cstheme="minorHAnsi"/>
          <w:sz w:val="20"/>
          <w:szCs w:val="20"/>
        </w:rPr>
        <w:t>esta problemática</w:t>
      </w:r>
      <w:r w:rsidR="00EF0C95" w:rsidRPr="005441BB">
        <w:rPr>
          <w:rFonts w:eastAsia="Yu Mincho" w:cstheme="minorHAnsi"/>
          <w:sz w:val="20"/>
          <w:szCs w:val="20"/>
        </w:rPr>
        <w:t xml:space="preserve">, quer pela sua amplitude epidemiológica, como pela sua representatividade clínica, assume-se como uma necessidade incontornável na esfera dos programas de saúde dirigidos à toxicodependência </w:t>
      </w:r>
      <w:r w:rsidR="000232BA">
        <w:rPr>
          <w:rFonts w:eastAsia="Yu Mincho" w:cstheme="minorHAnsi"/>
          <w:sz w:val="20"/>
          <w:szCs w:val="20"/>
        </w:rPr>
        <w:t>(APA</w:t>
      </w:r>
      <w:r w:rsidR="007B4687" w:rsidRPr="005441BB">
        <w:rPr>
          <w:rFonts w:eastAsia="Yu Mincho" w:cstheme="minorHAnsi"/>
          <w:sz w:val="20"/>
          <w:szCs w:val="20"/>
        </w:rPr>
        <w:t>, 20</w:t>
      </w:r>
      <w:r w:rsidR="00590CF8">
        <w:rPr>
          <w:rFonts w:eastAsia="Yu Mincho" w:cstheme="minorHAnsi"/>
          <w:sz w:val="20"/>
          <w:szCs w:val="20"/>
        </w:rPr>
        <w:t>14</w:t>
      </w:r>
      <w:r w:rsidR="007B4687" w:rsidRPr="005441BB">
        <w:rPr>
          <w:rFonts w:eastAsia="Yu Mincho" w:cstheme="minorHAnsi"/>
          <w:sz w:val="20"/>
          <w:szCs w:val="20"/>
        </w:rPr>
        <w:t>).</w:t>
      </w:r>
      <w:r w:rsidR="004F42CE" w:rsidRPr="005441BB">
        <w:rPr>
          <w:rFonts w:eastAsia="Yu Mincho" w:cstheme="minorHAnsi"/>
          <w:sz w:val="20"/>
          <w:szCs w:val="20"/>
        </w:rPr>
        <w:t xml:space="preserve"> </w:t>
      </w:r>
      <w:r w:rsidR="00EF0C95" w:rsidRPr="005441BB">
        <w:rPr>
          <w:rFonts w:eastAsia="Yu Mincho" w:cstheme="minorHAnsi"/>
          <w:sz w:val="20"/>
          <w:szCs w:val="20"/>
        </w:rPr>
        <w:t xml:space="preserve">A </w:t>
      </w:r>
      <w:r w:rsidR="00694E5B">
        <w:rPr>
          <w:rFonts w:eastAsia="Yu Mincho" w:cstheme="minorHAnsi"/>
          <w:sz w:val="20"/>
          <w:szCs w:val="20"/>
        </w:rPr>
        <w:t>complexidade e</w:t>
      </w:r>
      <w:r w:rsidR="00EF0C95" w:rsidRPr="005441BB">
        <w:rPr>
          <w:rFonts w:eastAsia="Yu Mincho" w:cstheme="minorHAnsi"/>
          <w:sz w:val="20"/>
          <w:szCs w:val="20"/>
        </w:rPr>
        <w:t xml:space="preserve"> amplitude desta problemática, embora realçada em diferentes contextos teóricos e práticos, tem sido pouco investigada no nosso país. </w:t>
      </w:r>
    </w:p>
    <w:p w:rsidR="00EF0C95" w:rsidRPr="005441BB" w:rsidRDefault="00B23C5E" w:rsidP="00EF4154">
      <w:pPr>
        <w:autoSpaceDE w:val="0"/>
        <w:autoSpaceDN w:val="0"/>
        <w:adjustRightInd w:val="0"/>
        <w:spacing w:after="0" w:line="360" w:lineRule="auto"/>
        <w:ind w:left="284"/>
        <w:rPr>
          <w:rFonts w:eastAsia="Yu Mincho" w:cstheme="minorHAnsi"/>
          <w:sz w:val="20"/>
          <w:szCs w:val="20"/>
        </w:rPr>
      </w:pPr>
      <w:r>
        <w:rPr>
          <w:rFonts w:eastAsia="Yu Mincho" w:cstheme="minorHAnsi"/>
          <w:sz w:val="20"/>
          <w:szCs w:val="20"/>
        </w:rPr>
        <w:t>Em paridade</w:t>
      </w:r>
      <w:r w:rsidR="00EF0C95" w:rsidRPr="005441BB">
        <w:rPr>
          <w:rFonts w:eastAsia="Yu Mincho" w:cstheme="minorHAnsi"/>
          <w:sz w:val="20"/>
          <w:szCs w:val="20"/>
        </w:rPr>
        <w:t xml:space="preserve">, a qualidade de vida (QV) é reconhecida como uma medição de resultados importantes no sentido das tomadas de decisão respeitantes aos recursos e </w:t>
      </w:r>
      <w:r w:rsidR="000232BA">
        <w:rPr>
          <w:rFonts w:eastAsia="Yu Mincho" w:cstheme="minorHAnsi"/>
          <w:sz w:val="20"/>
          <w:szCs w:val="20"/>
        </w:rPr>
        <w:t>à</w:t>
      </w:r>
      <w:r w:rsidR="00EF0C95" w:rsidRPr="005441BB">
        <w:rPr>
          <w:rFonts w:eastAsia="Yu Mincho" w:cstheme="minorHAnsi"/>
          <w:sz w:val="20"/>
          <w:szCs w:val="20"/>
        </w:rPr>
        <w:t xml:space="preserve"> criação de programas específicos de intervenção em saúde, nomeadamente em saúde mental (</w:t>
      </w:r>
      <w:proofErr w:type="spellStart"/>
      <w:r w:rsidR="00EF0C95" w:rsidRPr="005441BB">
        <w:rPr>
          <w:rFonts w:eastAsia="Calibri" w:cstheme="minorHAnsi"/>
          <w:sz w:val="20"/>
          <w:szCs w:val="20"/>
          <w:shd w:val="clear" w:color="auto" w:fill="FFFFFF"/>
        </w:rPr>
        <w:t>Tran</w:t>
      </w:r>
      <w:proofErr w:type="spellEnd"/>
      <w:r w:rsidR="00EF0C95" w:rsidRPr="005441BB">
        <w:rPr>
          <w:rFonts w:eastAsia="Calibri" w:cstheme="minorHAnsi"/>
          <w:sz w:val="20"/>
          <w:szCs w:val="20"/>
          <w:shd w:val="clear" w:color="auto" w:fill="FFFFFF"/>
        </w:rPr>
        <w:t xml:space="preserve"> </w:t>
      </w:r>
      <w:proofErr w:type="spellStart"/>
      <w:r w:rsidR="00EF0C95" w:rsidRPr="005441BB">
        <w:rPr>
          <w:rFonts w:eastAsia="Calibri" w:cstheme="minorHAnsi"/>
          <w:i/>
          <w:sz w:val="20"/>
          <w:szCs w:val="20"/>
          <w:shd w:val="clear" w:color="auto" w:fill="FFFFFF"/>
        </w:rPr>
        <w:t>et</w:t>
      </w:r>
      <w:proofErr w:type="spellEnd"/>
      <w:r w:rsidR="00EF0C95" w:rsidRPr="005441BB">
        <w:rPr>
          <w:rFonts w:eastAsia="Calibri" w:cstheme="minorHAnsi"/>
          <w:i/>
          <w:sz w:val="20"/>
          <w:szCs w:val="20"/>
          <w:shd w:val="clear" w:color="auto" w:fill="FFFFFF"/>
        </w:rPr>
        <w:t xml:space="preserve"> al.</w:t>
      </w:r>
      <w:r w:rsidR="00EF0C95" w:rsidRPr="005441BB">
        <w:rPr>
          <w:rFonts w:eastAsia="Calibri" w:cstheme="minorHAnsi"/>
          <w:sz w:val="20"/>
          <w:szCs w:val="20"/>
          <w:shd w:val="clear" w:color="auto" w:fill="FFFFFF"/>
        </w:rPr>
        <w:t>, 2012</w:t>
      </w:r>
      <w:r w:rsidR="00EF0C95" w:rsidRPr="005441BB">
        <w:rPr>
          <w:rFonts w:eastAsia="Yu Mincho" w:cstheme="minorHAnsi"/>
          <w:sz w:val="20"/>
          <w:szCs w:val="20"/>
        </w:rPr>
        <w:t>).</w:t>
      </w:r>
      <w:r>
        <w:rPr>
          <w:rFonts w:eastAsia="Yu Mincho" w:cstheme="minorHAnsi"/>
          <w:sz w:val="20"/>
          <w:szCs w:val="20"/>
        </w:rPr>
        <w:t xml:space="preserve"> </w:t>
      </w:r>
      <w:r w:rsidR="00550CE4">
        <w:rPr>
          <w:rFonts w:eastAsia="Yu Mincho" w:cstheme="minorHAnsi"/>
          <w:sz w:val="20"/>
          <w:szCs w:val="20"/>
        </w:rPr>
        <w:t>Os profissionais de saúde</w:t>
      </w:r>
      <w:r w:rsidR="00694E5B">
        <w:rPr>
          <w:rFonts w:eastAsia="Yu Mincho" w:cstheme="minorHAnsi"/>
          <w:sz w:val="20"/>
          <w:szCs w:val="20"/>
        </w:rPr>
        <w:t>, nomeadamente os enfermeiros,</w:t>
      </w:r>
      <w:r w:rsidR="00EF0C95" w:rsidRPr="005441BB">
        <w:rPr>
          <w:rFonts w:eastAsia="Yu Mincho" w:cstheme="minorHAnsi"/>
          <w:sz w:val="20"/>
          <w:szCs w:val="20"/>
        </w:rPr>
        <w:t xml:space="preserve"> que cuidam de pessoas com d</w:t>
      </w:r>
      <w:r w:rsidR="000232BA">
        <w:rPr>
          <w:rFonts w:eastAsia="Yu Mincho" w:cstheme="minorHAnsi"/>
          <w:sz w:val="20"/>
          <w:szCs w:val="20"/>
        </w:rPr>
        <w:t>ependência</w:t>
      </w:r>
      <w:r>
        <w:rPr>
          <w:rFonts w:eastAsia="Yu Mincho" w:cstheme="minorHAnsi"/>
          <w:sz w:val="20"/>
          <w:szCs w:val="20"/>
        </w:rPr>
        <w:t>s</w:t>
      </w:r>
      <w:r w:rsidR="000232BA">
        <w:rPr>
          <w:rFonts w:eastAsia="Yu Mincho" w:cstheme="minorHAnsi"/>
          <w:sz w:val="20"/>
          <w:szCs w:val="20"/>
        </w:rPr>
        <w:t xml:space="preserve"> de substâncias</w:t>
      </w:r>
      <w:r w:rsidR="00694E5B">
        <w:rPr>
          <w:rFonts w:eastAsia="Yu Mincho" w:cstheme="minorHAnsi"/>
          <w:sz w:val="20"/>
          <w:szCs w:val="20"/>
        </w:rPr>
        <w:t>,</w:t>
      </w:r>
      <w:r w:rsidR="000232BA">
        <w:rPr>
          <w:rFonts w:eastAsia="Yu Mincho" w:cstheme="minorHAnsi"/>
          <w:sz w:val="20"/>
          <w:szCs w:val="20"/>
        </w:rPr>
        <w:t xml:space="preserve"> estão</w:t>
      </w:r>
      <w:r w:rsidR="00694E5B">
        <w:rPr>
          <w:rFonts w:eastAsia="Yu Mincho" w:cstheme="minorHAnsi"/>
          <w:sz w:val="20"/>
          <w:szCs w:val="20"/>
        </w:rPr>
        <w:t xml:space="preserve"> cada vez mais conscientes</w:t>
      </w:r>
      <w:r w:rsidR="00EF0C95" w:rsidRPr="005441BB">
        <w:rPr>
          <w:rFonts w:eastAsia="Yu Mincho" w:cstheme="minorHAnsi"/>
          <w:sz w:val="20"/>
          <w:szCs w:val="20"/>
        </w:rPr>
        <w:t xml:space="preserve"> da necessidade de entender melhor a perceção individual sobre o estado de saúde</w:t>
      </w:r>
      <w:r>
        <w:rPr>
          <w:rFonts w:eastAsia="Yu Mincho" w:cstheme="minorHAnsi"/>
          <w:sz w:val="20"/>
          <w:szCs w:val="20"/>
        </w:rPr>
        <w:t xml:space="preserve"> e QV dos dependentes de drogas</w:t>
      </w:r>
      <w:r w:rsidR="00EF0C95" w:rsidRPr="005441BB">
        <w:rPr>
          <w:rFonts w:eastAsia="Yu Mincho" w:cstheme="minorHAnsi"/>
          <w:sz w:val="20"/>
          <w:szCs w:val="20"/>
        </w:rPr>
        <w:t>.</w:t>
      </w:r>
    </w:p>
    <w:p w:rsidR="00EF0C95" w:rsidRPr="005441BB" w:rsidRDefault="00EF0C95" w:rsidP="00EF4154">
      <w:pPr>
        <w:tabs>
          <w:tab w:val="left" w:pos="4740"/>
        </w:tabs>
        <w:spacing w:after="0" w:line="360" w:lineRule="auto"/>
        <w:ind w:left="284"/>
        <w:rPr>
          <w:rFonts w:eastAsia="Yu Mincho" w:cstheme="minorHAnsi"/>
          <w:sz w:val="20"/>
          <w:szCs w:val="20"/>
        </w:rPr>
      </w:pPr>
      <w:r w:rsidRPr="005441BB">
        <w:rPr>
          <w:rFonts w:eastAsia="Yu Mincho" w:cstheme="minorHAnsi"/>
          <w:sz w:val="20"/>
          <w:szCs w:val="20"/>
        </w:rPr>
        <w:t>Neste sentido, o presente estudo de investigação tem como objetivos, avaliar a perceção de QV das pessoas com problemáticas aditivas; comparar a perceção de QV dos indivíduos com dependências de drogas lícitas (como o álcool) e os dependentes de drogas ilícitas; e descrever as diferenças encontradas na perceção de QV, de acordo com as variáveis sociodemográficas, de saúde e de tratamento dessas pessoas. Tem ainda como finalidade melhorar a compreensão sobre as implicações da problemática aditiva na QV, com vista ao planeamento de intervenções de enfermagem adequadas às exigências e vulnerabilidade desta população.</w:t>
      </w:r>
    </w:p>
    <w:p w:rsidR="002044C9" w:rsidRPr="005441BB" w:rsidRDefault="002044C9" w:rsidP="00EF4154">
      <w:pPr>
        <w:spacing w:after="0" w:line="360" w:lineRule="auto"/>
        <w:ind w:left="284"/>
        <w:outlineLvl w:val="1"/>
        <w:rPr>
          <w:rFonts w:eastAsia="Times New Roman" w:cstheme="minorHAnsi"/>
          <w:b/>
          <w:bCs/>
          <w:sz w:val="20"/>
          <w:szCs w:val="20"/>
        </w:rPr>
      </w:pPr>
    </w:p>
    <w:p w:rsidR="00A913D0" w:rsidRPr="005441BB" w:rsidRDefault="00905025" w:rsidP="00EF4154">
      <w:pPr>
        <w:pStyle w:val="Ttulo"/>
        <w:numPr>
          <w:ilvl w:val="0"/>
          <w:numId w:val="3"/>
        </w:numPr>
        <w:ind w:left="284" w:firstLine="0"/>
        <w:jc w:val="left"/>
        <w:rPr>
          <w:rFonts w:eastAsia="Calibri" w:cstheme="minorHAnsi"/>
          <w:szCs w:val="20"/>
          <w:lang w:val="en-US"/>
        </w:rPr>
      </w:pPr>
      <w:r w:rsidRPr="005441BB">
        <w:rPr>
          <w:rFonts w:eastAsia="Calibri" w:cstheme="minorHAnsi"/>
          <w:szCs w:val="20"/>
          <w:lang w:val="en-US"/>
        </w:rPr>
        <w:t>ENQUADRAMENTO TEÓRICO</w:t>
      </w:r>
    </w:p>
    <w:p w:rsidR="00537A34" w:rsidRDefault="00537A34" w:rsidP="00EF4154">
      <w:pPr>
        <w:autoSpaceDE w:val="0"/>
        <w:autoSpaceDN w:val="0"/>
        <w:adjustRightInd w:val="0"/>
        <w:spacing w:after="0" w:line="360" w:lineRule="auto"/>
        <w:ind w:left="284"/>
        <w:rPr>
          <w:rFonts w:eastAsia="Yu Mincho" w:cstheme="minorHAnsi"/>
          <w:sz w:val="20"/>
          <w:szCs w:val="20"/>
        </w:rPr>
      </w:pPr>
      <w:r w:rsidRPr="005441BB">
        <w:rPr>
          <w:rFonts w:eastAsia="Yu Mincho" w:cstheme="minorHAnsi"/>
          <w:sz w:val="20"/>
          <w:szCs w:val="20"/>
        </w:rPr>
        <w:t>Os conceitos vigentes sobre as bases biológicas da utilização abusiva de álcool e outras drogas alteraram-se profundamente nos últimos anos (</w:t>
      </w:r>
      <w:r w:rsidR="00694E5B">
        <w:rPr>
          <w:rFonts w:eastAsia="Yu Mincho" w:cstheme="minorHAnsi"/>
          <w:sz w:val="20"/>
          <w:szCs w:val="20"/>
        </w:rPr>
        <w:t>UN</w:t>
      </w:r>
      <w:r w:rsidR="004F42CE" w:rsidRPr="005441BB">
        <w:rPr>
          <w:rFonts w:eastAsia="Yu Mincho" w:cstheme="minorHAnsi"/>
          <w:sz w:val="20"/>
          <w:szCs w:val="20"/>
        </w:rPr>
        <w:t>, 2016; WHO, 2014</w:t>
      </w:r>
      <w:r w:rsidRPr="005441BB">
        <w:rPr>
          <w:rFonts w:eastAsia="Yu Mincho" w:cstheme="minorHAnsi"/>
          <w:sz w:val="20"/>
          <w:szCs w:val="20"/>
        </w:rPr>
        <w:t xml:space="preserve">). Os recentes avanços nos campos da genética, biologia molecular, </w:t>
      </w:r>
      <w:proofErr w:type="spellStart"/>
      <w:r w:rsidRPr="005441BB">
        <w:rPr>
          <w:rFonts w:eastAsia="Yu Mincho" w:cstheme="minorHAnsi"/>
          <w:sz w:val="20"/>
          <w:szCs w:val="20"/>
        </w:rPr>
        <w:t>neurofarmacologia</w:t>
      </w:r>
      <w:proofErr w:type="spellEnd"/>
      <w:r w:rsidRPr="005441BB">
        <w:rPr>
          <w:rFonts w:eastAsia="Yu Mincho" w:cstheme="minorHAnsi"/>
          <w:sz w:val="20"/>
          <w:szCs w:val="20"/>
        </w:rPr>
        <w:t xml:space="preserve"> comportamental e imagio</w:t>
      </w:r>
      <w:r w:rsidR="000232BA">
        <w:rPr>
          <w:rFonts w:eastAsia="Yu Mincho" w:cstheme="minorHAnsi"/>
          <w:sz w:val="20"/>
          <w:szCs w:val="20"/>
        </w:rPr>
        <w:t>logia cerebral têm alterado dras</w:t>
      </w:r>
      <w:r w:rsidRPr="005441BB">
        <w:rPr>
          <w:rFonts w:eastAsia="Yu Mincho" w:cstheme="minorHAnsi"/>
          <w:sz w:val="20"/>
          <w:szCs w:val="20"/>
        </w:rPr>
        <w:t>ticamente o nosso entendimento sobre o processo de dependê</w:t>
      </w:r>
      <w:r w:rsidR="00694E5B">
        <w:rPr>
          <w:rFonts w:eastAsia="Yu Mincho" w:cstheme="minorHAnsi"/>
          <w:sz w:val="20"/>
          <w:szCs w:val="20"/>
        </w:rPr>
        <w:t xml:space="preserve">ncia e recaída. A dependência é, </w:t>
      </w:r>
      <w:r w:rsidR="00C87013">
        <w:rPr>
          <w:rFonts w:eastAsia="Yu Mincho" w:cstheme="minorHAnsi"/>
          <w:sz w:val="20"/>
          <w:szCs w:val="20"/>
        </w:rPr>
        <w:t>há</w:t>
      </w:r>
      <w:r w:rsidR="00694E5B">
        <w:rPr>
          <w:rFonts w:eastAsia="Yu Mincho" w:cstheme="minorHAnsi"/>
          <w:sz w:val="20"/>
          <w:szCs w:val="20"/>
        </w:rPr>
        <w:t xml:space="preserve"> já vários anos, </w:t>
      </w:r>
      <w:r w:rsidRPr="005441BB">
        <w:rPr>
          <w:rFonts w:eastAsia="Yu Mincho" w:cstheme="minorHAnsi"/>
          <w:sz w:val="20"/>
          <w:szCs w:val="20"/>
        </w:rPr>
        <w:t>reconhecida como uma doença crónica que envolve interações complexas entre a exposição repetida a drogas, os fatores biológicos e os fatores ambientais (APA, 20</w:t>
      </w:r>
      <w:r w:rsidR="00590CF8">
        <w:rPr>
          <w:rFonts w:eastAsia="Yu Mincho" w:cstheme="minorHAnsi"/>
          <w:sz w:val="20"/>
          <w:szCs w:val="20"/>
        </w:rPr>
        <w:t>14</w:t>
      </w:r>
      <w:r w:rsidRPr="005441BB">
        <w:rPr>
          <w:rFonts w:eastAsia="Yu Mincho" w:cstheme="minorHAnsi"/>
          <w:sz w:val="20"/>
          <w:szCs w:val="20"/>
        </w:rPr>
        <w:t>).</w:t>
      </w:r>
    </w:p>
    <w:p w:rsidR="00694E5B" w:rsidRDefault="005043F3" w:rsidP="00EF4154">
      <w:pPr>
        <w:autoSpaceDE w:val="0"/>
        <w:autoSpaceDN w:val="0"/>
        <w:adjustRightInd w:val="0"/>
        <w:spacing w:after="0" w:line="360" w:lineRule="auto"/>
        <w:ind w:left="284"/>
        <w:rPr>
          <w:rFonts w:cstheme="minorHAnsi"/>
          <w:sz w:val="20"/>
          <w:szCs w:val="20"/>
        </w:rPr>
      </w:pPr>
      <w:r w:rsidRPr="005441BB">
        <w:rPr>
          <w:rFonts w:eastAsia="Yu Mincho" w:cstheme="minorHAnsi"/>
          <w:sz w:val="20"/>
          <w:szCs w:val="20"/>
        </w:rPr>
        <w:t xml:space="preserve">De acordo com o </w:t>
      </w:r>
      <w:proofErr w:type="spellStart"/>
      <w:r w:rsidRPr="005441BB">
        <w:rPr>
          <w:rFonts w:eastAsia="Yu Mincho" w:cstheme="minorHAnsi"/>
          <w:sz w:val="20"/>
          <w:szCs w:val="20"/>
        </w:rPr>
        <w:t>World</w:t>
      </w:r>
      <w:proofErr w:type="spellEnd"/>
      <w:r w:rsidRPr="005441BB">
        <w:rPr>
          <w:rFonts w:eastAsia="Yu Mincho" w:cstheme="minorHAnsi"/>
          <w:sz w:val="20"/>
          <w:szCs w:val="20"/>
        </w:rPr>
        <w:t xml:space="preserve"> </w:t>
      </w:r>
      <w:proofErr w:type="spellStart"/>
      <w:r w:rsidRPr="005441BB">
        <w:rPr>
          <w:rFonts w:eastAsia="Yu Mincho" w:cstheme="minorHAnsi"/>
          <w:sz w:val="20"/>
          <w:szCs w:val="20"/>
        </w:rPr>
        <w:t>Drug</w:t>
      </w:r>
      <w:proofErr w:type="spellEnd"/>
      <w:r w:rsidRPr="005441BB">
        <w:rPr>
          <w:rFonts w:eastAsia="Yu Mincho" w:cstheme="minorHAnsi"/>
          <w:sz w:val="20"/>
          <w:szCs w:val="20"/>
        </w:rPr>
        <w:t xml:space="preserve"> </w:t>
      </w:r>
      <w:proofErr w:type="spellStart"/>
      <w:r w:rsidRPr="005441BB">
        <w:rPr>
          <w:rFonts w:eastAsia="Yu Mincho" w:cstheme="minorHAnsi"/>
          <w:sz w:val="20"/>
          <w:szCs w:val="20"/>
        </w:rPr>
        <w:t>Report</w:t>
      </w:r>
      <w:proofErr w:type="spellEnd"/>
      <w:r w:rsidRPr="005441BB">
        <w:rPr>
          <w:rFonts w:eastAsia="Yu Mincho" w:cstheme="minorHAnsi"/>
          <w:sz w:val="20"/>
          <w:szCs w:val="20"/>
        </w:rPr>
        <w:t xml:space="preserve"> (</w:t>
      </w:r>
      <w:r w:rsidR="00694E5B">
        <w:rPr>
          <w:rFonts w:eastAsia="Yu Mincho" w:cstheme="minorHAnsi"/>
          <w:sz w:val="20"/>
          <w:szCs w:val="20"/>
        </w:rPr>
        <w:t xml:space="preserve">UN, </w:t>
      </w:r>
      <w:r w:rsidRPr="005441BB">
        <w:rPr>
          <w:rFonts w:eastAsia="Yu Mincho" w:cstheme="minorHAnsi"/>
          <w:sz w:val="20"/>
          <w:szCs w:val="20"/>
        </w:rPr>
        <w:t>2016), estima-se que um em cada 20 ad</w:t>
      </w:r>
      <w:r w:rsidR="00550CE4">
        <w:rPr>
          <w:rFonts w:eastAsia="Yu Mincho" w:cstheme="minorHAnsi"/>
          <w:sz w:val="20"/>
          <w:szCs w:val="20"/>
        </w:rPr>
        <w:t>ultos</w:t>
      </w:r>
      <w:r w:rsidRPr="005441BB">
        <w:rPr>
          <w:rFonts w:eastAsia="Yu Mincho" w:cstheme="minorHAnsi"/>
          <w:sz w:val="20"/>
          <w:szCs w:val="20"/>
        </w:rPr>
        <w:t xml:space="preserve"> usaram pelo menos uma droga ilícita em 2014. Também no que se refere ao uso abusivo de álcool, </w:t>
      </w:r>
      <w:r w:rsidR="00694E5B">
        <w:rPr>
          <w:rFonts w:eastAsia="Yu Mincho" w:cstheme="minorHAnsi"/>
          <w:sz w:val="20"/>
          <w:szCs w:val="20"/>
        </w:rPr>
        <w:t>pensa</w:t>
      </w:r>
      <w:r w:rsidRPr="005441BB">
        <w:rPr>
          <w:rFonts w:eastAsia="Yu Mincho" w:cstheme="minorHAnsi"/>
          <w:sz w:val="20"/>
          <w:szCs w:val="20"/>
        </w:rPr>
        <w:t xml:space="preserve">-se que, em todo o mundo, indivíduos com 15 ou mais anos de idade consumiram cerca de 6,2 litros de álcool puro em 2010 (WHO, 2014). </w:t>
      </w:r>
      <w:r w:rsidR="00694E5B" w:rsidRPr="005441BB">
        <w:rPr>
          <w:rFonts w:eastAsia="Yu Mincho" w:cstheme="minorHAnsi"/>
          <w:sz w:val="20"/>
          <w:szCs w:val="20"/>
        </w:rPr>
        <w:t>Es</w:t>
      </w:r>
      <w:r w:rsidR="00694E5B">
        <w:rPr>
          <w:rFonts w:eastAsia="Yu Mincho" w:cstheme="minorHAnsi"/>
          <w:sz w:val="20"/>
          <w:szCs w:val="20"/>
        </w:rPr>
        <w:t xml:space="preserve">tes estudos indicam ainda </w:t>
      </w:r>
      <w:r w:rsidR="00694E5B" w:rsidRPr="005441BB">
        <w:rPr>
          <w:rFonts w:eastAsia="Yu Mincho" w:cstheme="minorHAnsi"/>
          <w:sz w:val="20"/>
          <w:szCs w:val="20"/>
        </w:rPr>
        <w:t xml:space="preserve">que, cerca de 29 milhões de pessoas em todo o mundo que consomem drogas, sofrem de </w:t>
      </w:r>
      <w:proofErr w:type="spellStart"/>
      <w:r w:rsidR="00A5295A">
        <w:rPr>
          <w:rFonts w:eastAsia="Yu Mincho" w:cstheme="minorHAnsi"/>
          <w:sz w:val="20"/>
          <w:szCs w:val="20"/>
        </w:rPr>
        <w:t>comorbilidades</w:t>
      </w:r>
      <w:proofErr w:type="spellEnd"/>
      <w:r w:rsidR="00694E5B" w:rsidRPr="005441BB">
        <w:rPr>
          <w:rFonts w:eastAsia="Yu Mincho" w:cstheme="minorHAnsi"/>
          <w:sz w:val="20"/>
          <w:szCs w:val="20"/>
        </w:rPr>
        <w:t xml:space="preserve"> associad</w:t>
      </w:r>
      <w:r w:rsidR="00A5295A">
        <w:rPr>
          <w:rFonts w:eastAsia="Yu Mincho" w:cstheme="minorHAnsi"/>
          <w:sz w:val="20"/>
          <w:szCs w:val="20"/>
        </w:rPr>
        <w:t>a</w:t>
      </w:r>
      <w:r w:rsidR="00694E5B" w:rsidRPr="005441BB">
        <w:rPr>
          <w:rFonts w:eastAsia="Yu Mincho" w:cstheme="minorHAnsi"/>
          <w:sz w:val="20"/>
          <w:szCs w:val="20"/>
        </w:rPr>
        <w:t xml:space="preserve">s, </w:t>
      </w:r>
      <w:r w:rsidR="00550CE4">
        <w:rPr>
          <w:rFonts w:eastAsia="Yu Mincho" w:cstheme="minorHAnsi"/>
          <w:sz w:val="20"/>
          <w:szCs w:val="20"/>
        </w:rPr>
        <w:t>enfatizando</w:t>
      </w:r>
      <w:r w:rsidR="00694E5B" w:rsidRPr="005441BB">
        <w:rPr>
          <w:rFonts w:eastAsia="Yu Mincho" w:cstheme="minorHAnsi"/>
          <w:sz w:val="20"/>
          <w:szCs w:val="20"/>
        </w:rPr>
        <w:t xml:space="preserve"> assim as suas consequências para a saúde (</w:t>
      </w:r>
      <w:proofErr w:type="spellStart"/>
      <w:r w:rsidR="00385E51" w:rsidRPr="00385E51">
        <w:rPr>
          <w:rFonts w:eastAsia="Yu Mincho" w:cstheme="minorHAnsi"/>
          <w:sz w:val="20"/>
          <w:szCs w:val="20"/>
        </w:rPr>
        <w:t>Teoh</w:t>
      </w:r>
      <w:proofErr w:type="spellEnd"/>
      <w:r w:rsidR="00385E51" w:rsidRPr="00385E51">
        <w:rPr>
          <w:rFonts w:eastAsia="Yu Mincho" w:cstheme="minorHAnsi"/>
          <w:sz w:val="20"/>
          <w:szCs w:val="20"/>
        </w:rPr>
        <w:t xml:space="preserve">, </w:t>
      </w:r>
      <w:proofErr w:type="spellStart"/>
      <w:r w:rsidR="00385E51" w:rsidRPr="00385E51">
        <w:rPr>
          <w:rFonts w:eastAsia="Yu Mincho" w:cstheme="minorHAnsi"/>
          <w:sz w:val="20"/>
          <w:szCs w:val="20"/>
        </w:rPr>
        <w:t>Yee</w:t>
      </w:r>
      <w:proofErr w:type="spellEnd"/>
      <w:r w:rsidR="00385E51" w:rsidRPr="00385E51">
        <w:rPr>
          <w:rFonts w:eastAsia="Yu Mincho" w:cstheme="minorHAnsi"/>
          <w:sz w:val="20"/>
          <w:szCs w:val="20"/>
        </w:rPr>
        <w:t>,</w:t>
      </w:r>
      <w:r w:rsidR="00385E51">
        <w:rPr>
          <w:rFonts w:eastAsia="Yu Mincho" w:cstheme="minorHAnsi"/>
          <w:sz w:val="20"/>
          <w:szCs w:val="20"/>
        </w:rPr>
        <w:t xml:space="preserve"> &amp; </w:t>
      </w:r>
      <w:proofErr w:type="spellStart"/>
      <w:r w:rsidR="00385E51">
        <w:rPr>
          <w:rFonts w:eastAsia="Yu Mincho" w:cstheme="minorHAnsi"/>
          <w:sz w:val="20"/>
          <w:szCs w:val="20"/>
        </w:rPr>
        <w:t>Habil</w:t>
      </w:r>
      <w:proofErr w:type="spellEnd"/>
      <w:r w:rsidR="00385E51">
        <w:rPr>
          <w:rFonts w:eastAsia="Yu Mincho" w:cstheme="minorHAnsi"/>
          <w:sz w:val="20"/>
          <w:szCs w:val="20"/>
        </w:rPr>
        <w:t>,</w:t>
      </w:r>
      <w:r w:rsidR="00385E51" w:rsidRPr="00385E51">
        <w:rPr>
          <w:rFonts w:eastAsia="Yu Mincho" w:cstheme="minorHAnsi"/>
          <w:sz w:val="20"/>
          <w:szCs w:val="20"/>
        </w:rPr>
        <w:t xml:space="preserve"> </w:t>
      </w:r>
      <w:r w:rsidR="00A5295A" w:rsidRPr="00A5295A">
        <w:rPr>
          <w:rFonts w:eastAsia="Yu Mincho" w:cstheme="minorHAnsi"/>
          <w:sz w:val="20"/>
          <w:szCs w:val="20"/>
        </w:rPr>
        <w:t>2016</w:t>
      </w:r>
      <w:r w:rsidR="00A5295A">
        <w:rPr>
          <w:rFonts w:eastAsia="Yu Mincho" w:cstheme="minorHAnsi"/>
          <w:sz w:val="20"/>
          <w:szCs w:val="20"/>
        </w:rPr>
        <w:t xml:space="preserve">; </w:t>
      </w:r>
      <w:r w:rsidR="00694E5B">
        <w:rPr>
          <w:rFonts w:eastAsia="Yu Mincho" w:cstheme="minorHAnsi"/>
          <w:sz w:val="20"/>
          <w:szCs w:val="20"/>
        </w:rPr>
        <w:t>UN</w:t>
      </w:r>
      <w:r w:rsidR="00694E5B" w:rsidRPr="005441BB">
        <w:rPr>
          <w:rFonts w:eastAsia="Yu Mincho" w:cstheme="minorHAnsi"/>
          <w:sz w:val="20"/>
          <w:szCs w:val="20"/>
        </w:rPr>
        <w:t>, 2016). Também o uso abusivo de álcool foi identificado como causa primária para mais de 200 patologias descritas no ICD-10 (WHO, 2014).</w:t>
      </w:r>
      <w:r w:rsidR="00694E5B" w:rsidRPr="005441BB">
        <w:rPr>
          <w:rFonts w:cstheme="minorHAnsi"/>
          <w:sz w:val="20"/>
          <w:szCs w:val="20"/>
        </w:rPr>
        <w:t xml:space="preserve"> </w:t>
      </w:r>
    </w:p>
    <w:p w:rsidR="00C87013" w:rsidRDefault="00694E5B" w:rsidP="00EF4154">
      <w:pPr>
        <w:autoSpaceDE w:val="0"/>
        <w:autoSpaceDN w:val="0"/>
        <w:adjustRightInd w:val="0"/>
        <w:spacing w:after="0" w:line="360" w:lineRule="auto"/>
        <w:ind w:left="284"/>
        <w:rPr>
          <w:rFonts w:eastAsia="Yu Mincho" w:cstheme="minorHAnsi"/>
          <w:sz w:val="20"/>
          <w:szCs w:val="20"/>
        </w:rPr>
      </w:pPr>
      <w:r>
        <w:rPr>
          <w:rFonts w:eastAsia="Yu Mincho" w:cstheme="minorHAnsi"/>
          <w:sz w:val="20"/>
          <w:szCs w:val="20"/>
        </w:rPr>
        <w:t>Nessa sequência, na</w:t>
      </w:r>
      <w:r w:rsidRPr="005441BB">
        <w:rPr>
          <w:rFonts w:eastAsia="Yu Mincho" w:cstheme="minorHAnsi"/>
          <w:sz w:val="20"/>
          <w:szCs w:val="20"/>
        </w:rPr>
        <w:t xml:space="preserve"> União Europeia</w:t>
      </w:r>
      <w:r>
        <w:rPr>
          <w:rFonts w:eastAsia="Yu Mincho" w:cstheme="minorHAnsi"/>
          <w:sz w:val="20"/>
          <w:szCs w:val="20"/>
        </w:rPr>
        <w:t>, e</w:t>
      </w:r>
      <w:r w:rsidRPr="005441BB">
        <w:rPr>
          <w:rFonts w:eastAsia="Yu Mincho" w:cstheme="minorHAnsi"/>
          <w:sz w:val="20"/>
          <w:szCs w:val="20"/>
        </w:rPr>
        <w:t xml:space="preserve"> especificamente em Portugal, o consumo de álcool é elevado, sendo que, em 2010, os portugueses com 15 ou mais anos consumiram uma média anual de 12,9 litros de álcool </w:t>
      </w:r>
      <w:r w:rsidRPr="005441BB">
        <w:rPr>
          <w:rFonts w:eastAsia="Yu Mincho" w:cstheme="minorHAnsi"/>
          <w:sz w:val="20"/>
          <w:szCs w:val="20"/>
        </w:rPr>
        <w:lastRenderedPageBreak/>
        <w:t xml:space="preserve">puro por ano (consumo de álcool per capita), com implicações a nível familiar, social e na saúde </w:t>
      </w:r>
      <w:r>
        <w:rPr>
          <w:rFonts w:eastAsia="Yu Mincho" w:cstheme="minorHAnsi"/>
          <w:sz w:val="20"/>
          <w:szCs w:val="20"/>
        </w:rPr>
        <w:t xml:space="preserve">(WHO, 2014). Também, no que se refere aos dados de mortalidade, </w:t>
      </w:r>
      <w:r w:rsidR="005043F3" w:rsidRPr="005441BB">
        <w:rPr>
          <w:rFonts w:eastAsia="Yu Mincho" w:cstheme="minorHAnsi"/>
          <w:sz w:val="20"/>
          <w:szCs w:val="20"/>
        </w:rPr>
        <w:t xml:space="preserve">o número de mortes por drogas </w:t>
      </w:r>
      <w:r>
        <w:rPr>
          <w:rFonts w:eastAsia="Yu Mincho" w:cstheme="minorHAnsi"/>
          <w:sz w:val="20"/>
          <w:szCs w:val="20"/>
        </w:rPr>
        <w:t xml:space="preserve">em Portugal </w:t>
      </w:r>
      <w:r w:rsidR="005043F3" w:rsidRPr="005441BB">
        <w:rPr>
          <w:rFonts w:eastAsia="Yu Mincho" w:cstheme="minorHAnsi"/>
          <w:sz w:val="20"/>
          <w:szCs w:val="20"/>
        </w:rPr>
        <w:t xml:space="preserve">foi, apenas no ano 2015, de </w:t>
      </w:r>
      <w:r w:rsidR="005043F3">
        <w:rPr>
          <w:rFonts w:eastAsia="Yu Mincho" w:cstheme="minorHAnsi"/>
          <w:sz w:val="20"/>
          <w:szCs w:val="20"/>
        </w:rPr>
        <w:t>onze pessoas, com uma média de 48,</w:t>
      </w:r>
      <w:r w:rsidR="005043F3" w:rsidRPr="005441BB">
        <w:rPr>
          <w:rFonts w:eastAsia="Yu Mincho" w:cstheme="minorHAnsi"/>
          <w:sz w:val="20"/>
          <w:szCs w:val="20"/>
        </w:rPr>
        <w:t>5 anos de idade, e por abuso de álcool</w:t>
      </w:r>
      <w:r w:rsidR="005043F3">
        <w:rPr>
          <w:rFonts w:eastAsia="Yu Mincho" w:cstheme="minorHAnsi"/>
          <w:sz w:val="20"/>
          <w:szCs w:val="20"/>
        </w:rPr>
        <w:t>,</w:t>
      </w:r>
      <w:r w:rsidR="005043F3" w:rsidRPr="005441BB">
        <w:rPr>
          <w:rFonts w:eastAsia="Yu Mincho" w:cstheme="minorHAnsi"/>
          <w:sz w:val="20"/>
          <w:szCs w:val="20"/>
        </w:rPr>
        <w:t xml:space="preserve"> no mesmo ano, foi de 84</w:t>
      </w:r>
      <w:r w:rsidR="005043F3">
        <w:rPr>
          <w:rFonts w:eastAsia="Yu Mincho" w:cstheme="minorHAnsi"/>
          <w:sz w:val="20"/>
          <w:szCs w:val="20"/>
        </w:rPr>
        <w:t xml:space="preserve"> pessoas</w:t>
      </w:r>
      <w:r w:rsidR="005043F3" w:rsidRPr="005441BB">
        <w:rPr>
          <w:rFonts w:eastAsia="Yu Mincho" w:cstheme="minorHAnsi"/>
          <w:sz w:val="20"/>
          <w:szCs w:val="20"/>
        </w:rPr>
        <w:t>, com uma média de idades de 67,2 anos (INE, 2017)</w:t>
      </w:r>
      <w:r w:rsidR="005043F3">
        <w:rPr>
          <w:rFonts w:eastAsia="Yu Mincho" w:cstheme="minorHAnsi"/>
          <w:sz w:val="20"/>
          <w:szCs w:val="20"/>
        </w:rPr>
        <w:t>.</w:t>
      </w:r>
    </w:p>
    <w:p w:rsidR="004F42CE" w:rsidRPr="005441BB" w:rsidRDefault="00C87013" w:rsidP="00EF4154">
      <w:pPr>
        <w:autoSpaceDE w:val="0"/>
        <w:autoSpaceDN w:val="0"/>
        <w:adjustRightInd w:val="0"/>
        <w:spacing w:after="0" w:line="360" w:lineRule="auto"/>
        <w:ind w:left="284"/>
        <w:rPr>
          <w:rFonts w:eastAsia="Yu Mincho" w:cstheme="minorHAnsi"/>
          <w:sz w:val="20"/>
          <w:szCs w:val="20"/>
        </w:rPr>
      </w:pPr>
      <w:r>
        <w:rPr>
          <w:rFonts w:eastAsia="Yu Mincho" w:cstheme="minorHAnsi"/>
          <w:sz w:val="20"/>
          <w:szCs w:val="20"/>
        </w:rPr>
        <w:t>A</w:t>
      </w:r>
      <w:r w:rsidR="004F42CE" w:rsidRPr="005441BB">
        <w:rPr>
          <w:rFonts w:eastAsia="Yu Mincho" w:cstheme="minorHAnsi"/>
          <w:sz w:val="20"/>
          <w:szCs w:val="20"/>
        </w:rPr>
        <w:t xml:space="preserve"> uma progressiva dependência física e psicológica, </w:t>
      </w:r>
      <w:r w:rsidR="00550CE4">
        <w:rPr>
          <w:rFonts w:eastAsia="Yu Mincho" w:cstheme="minorHAnsi"/>
          <w:sz w:val="20"/>
          <w:szCs w:val="20"/>
        </w:rPr>
        <w:t>associa-se</w:t>
      </w:r>
      <w:r w:rsidR="004F42CE" w:rsidRPr="005441BB">
        <w:rPr>
          <w:rFonts w:eastAsia="Yu Mincho" w:cstheme="minorHAnsi"/>
          <w:sz w:val="20"/>
          <w:szCs w:val="20"/>
        </w:rPr>
        <w:t xml:space="preserve"> uma necessidade obsessiva e coerciva de procura da droga que converge numa deterioração do autoconceito e da relação com a sociedade, com perda de laços afetivos e a um conjunto de comportamentos antissociais, como o roubo, a agressividade ou a prostituição (APA, 2</w:t>
      </w:r>
      <w:r w:rsidR="00590CF8">
        <w:rPr>
          <w:rFonts w:eastAsia="Yu Mincho" w:cstheme="minorHAnsi"/>
          <w:sz w:val="20"/>
          <w:szCs w:val="20"/>
        </w:rPr>
        <w:t>014</w:t>
      </w:r>
      <w:r w:rsidR="004F42CE" w:rsidRPr="005441BB">
        <w:rPr>
          <w:rFonts w:eastAsia="Yu Mincho" w:cstheme="minorHAnsi"/>
          <w:sz w:val="20"/>
          <w:szCs w:val="20"/>
        </w:rPr>
        <w:t>).</w:t>
      </w:r>
    </w:p>
    <w:p w:rsidR="00746352" w:rsidRDefault="00BD3C85" w:rsidP="00EF4154">
      <w:pPr>
        <w:autoSpaceDE w:val="0"/>
        <w:autoSpaceDN w:val="0"/>
        <w:adjustRightInd w:val="0"/>
        <w:spacing w:after="0" w:line="360" w:lineRule="auto"/>
        <w:ind w:left="284"/>
        <w:rPr>
          <w:rFonts w:cstheme="minorHAnsi"/>
          <w:sz w:val="20"/>
          <w:szCs w:val="20"/>
        </w:rPr>
      </w:pPr>
      <w:r w:rsidRPr="005441BB">
        <w:rPr>
          <w:rFonts w:cstheme="minorHAnsi"/>
          <w:sz w:val="20"/>
          <w:szCs w:val="20"/>
        </w:rPr>
        <w:t xml:space="preserve">O tratamento das dependências exige, em geral, não só uma intervenção de longo prazo, mas também uma abordagem multifacetada </w:t>
      </w:r>
      <w:r w:rsidR="00550CE4">
        <w:rPr>
          <w:rFonts w:cstheme="minorHAnsi"/>
          <w:sz w:val="20"/>
          <w:szCs w:val="20"/>
        </w:rPr>
        <w:t>e multiprofissional</w:t>
      </w:r>
      <w:r w:rsidRPr="005441BB">
        <w:rPr>
          <w:rFonts w:cstheme="minorHAnsi"/>
          <w:sz w:val="20"/>
          <w:szCs w:val="20"/>
        </w:rPr>
        <w:t xml:space="preserve">. Além disso, porque a dependência de drogas começa geralmente na adolescência ou no início da idade adulta e é frequente a sua </w:t>
      </w:r>
      <w:proofErr w:type="spellStart"/>
      <w:r w:rsidRPr="005441BB">
        <w:rPr>
          <w:rFonts w:cstheme="minorHAnsi"/>
          <w:sz w:val="20"/>
          <w:szCs w:val="20"/>
        </w:rPr>
        <w:t>comorbidade</w:t>
      </w:r>
      <w:proofErr w:type="spellEnd"/>
      <w:r w:rsidRPr="005441BB">
        <w:rPr>
          <w:rFonts w:cstheme="minorHAnsi"/>
          <w:sz w:val="20"/>
          <w:szCs w:val="20"/>
        </w:rPr>
        <w:t xml:space="preserve"> com a doença mental, precisamos de expandir as nossas intervenções de tratamento nessa faixa etária, tanto para o abuso de substâncias</w:t>
      </w:r>
      <w:r w:rsidR="00C838A7">
        <w:rPr>
          <w:rFonts w:cstheme="minorHAnsi"/>
          <w:sz w:val="20"/>
          <w:szCs w:val="20"/>
        </w:rPr>
        <w:t>,</w:t>
      </w:r>
      <w:r w:rsidRPr="005441BB">
        <w:rPr>
          <w:rFonts w:cstheme="minorHAnsi"/>
          <w:sz w:val="20"/>
          <w:szCs w:val="20"/>
        </w:rPr>
        <w:t xml:space="preserve"> como para a doença psiquiátrica (</w:t>
      </w:r>
      <w:r w:rsidR="00385E51">
        <w:rPr>
          <w:rFonts w:cstheme="minorHAnsi"/>
          <w:sz w:val="20"/>
          <w:szCs w:val="20"/>
        </w:rPr>
        <w:t>Silveira, Santos, &amp; Pereira,</w:t>
      </w:r>
      <w:r w:rsidR="00385E51" w:rsidRPr="00385E51">
        <w:rPr>
          <w:rFonts w:cstheme="minorHAnsi"/>
          <w:sz w:val="20"/>
          <w:szCs w:val="20"/>
        </w:rPr>
        <w:t xml:space="preserve"> </w:t>
      </w:r>
      <w:r w:rsidR="00746352">
        <w:rPr>
          <w:rFonts w:cstheme="minorHAnsi"/>
          <w:sz w:val="20"/>
          <w:szCs w:val="20"/>
        </w:rPr>
        <w:t>2014</w:t>
      </w:r>
      <w:r w:rsidRPr="005441BB">
        <w:rPr>
          <w:rFonts w:cstheme="minorHAnsi"/>
          <w:sz w:val="20"/>
          <w:szCs w:val="20"/>
        </w:rPr>
        <w:t>).</w:t>
      </w:r>
      <w:r w:rsidR="0022479F">
        <w:rPr>
          <w:rFonts w:cstheme="minorHAnsi"/>
          <w:sz w:val="20"/>
          <w:szCs w:val="20"/>
        </w:rPr>
        <w:t xml:space="preserve"> </w:t>
      </w:r>
    </w:p>
    <w:p w:rsidR="00EF0C95" w:rsidRPr="005441BB" w:rsidRDefault="002D0AE9" w:rsidP="00EF4154">
      <w:pPr>
        <w:autoSpaceDE w:val="0"/>
        <w:autoSpaceDN w:val="0"/>
        <w:adjustRightInd w:val="0"/>
        <w:spacing w:after="0" w:line="360" w:lineRule="auto"/>
        <w:ind w:left="284"/>
        <w:rPr>
          <w:rFonts w:eastAsia="Yu Mincho" w:cstheme="minorHAnsi"/>
          <w:sz w:val="20"/>
          <w:szCs w:val="20"/>
        </w:rPr>
      </w:pPr>
      <w:r w:rsidRPr="005441BB">
        <w:rPr>
          <w:rFonts w:eastAsia="Yu Mincho" w:cstheme="minorHAnsi"/>
          <w:sz w:val="20"/>
          <w:szCs w:val="20"/>
        </w:rPr>
        <w:t xml:space="preserve">Identificar as necessidades de saúde de uma população que requer intervenção é o primeiro passo para uma intervenção ajustada e eficiente (Rocha </w:t>
      </w:r>
      <w:proofErr w:type="spellStart"/>
      <w:r w:rsidRPr="005441BB">
        <w:rPr>
          <w:rFonts w:eastAsia="Yu Mincho" w:cstheme="minorHAnsi"/>
          <w:sz w:val="20"/>
          <w:szCs w:val="20"/>
        </w:rPr>
        <w:t>et</w:t>
      </w:r>
      <w:proofErr w:type="spellEnd"/>
      <w:r w:rsidRPr="005441BB">
        <w:rPr>
          <w:rFonts w:eastAsia="Yu Mincho" w:cstheme="minorHAnsi"/>
          <w:sz w:val="20"/>
          <w:szCs w:val="20"/>
        </w:rPr>
        <w:t xml:space="preserve"> al., 2013). Neste sentido, o</w:t>
      </w:r>
      <w:r w:rsidR="00EF0C95" w:rsidRPr="005441BB">
        <w:rPr>
          <w:rFonts w:eastAsia="Yu Mincho" w:cstheme="minorHAnsi"/>
          <w:sz w:val="20"/>
          <w:szCs w:val="20"/>
        </w:rPr>
        <w:t xml:space="preserve"> interesse na avaliação da QV tem crescido muito substancialmente nos últimos anos, embora ainda exista um número reduzido de estudos que avaliem a QV em pessoas consumidoras de drogas e </w:t>
      </w:r>
      <w:r w:rsidR="00C838A7">
        <w:rPr>
          <w:rFonts w:eastAsia="Yu Mincho" w:cstheme="minorHAnsi"/>
          <w:sz w:val="20"/>
          <w:szCs w:val="20"/>
        </w:rPr>
        <w:t xml:space="preserve">em particular, </w:t>
      </w:r>
      <w:r w:rsidR="00EF0C95" w:rsidRPr="005441BB">
        <w:rPr>
          <w:rFonts w:eastAsia="Yu Mincho" w:cstheme="minorHAnsi"/>
          <w:sz w:val="20"/>
          <w:szCs w:val="20"/>
        </w:rPr>
        <w:t>que utilizem esse conceito na avaliação da eficácia das intervenções realizadas em saúde</w:t>
      </w:r>
      <w:r w:rsidR="004F42CE" w:rsidRPr="005441BB">
        <w:rPr>
          <w:rFonts w:eastAsia="Yu Mincho" w:cstheme="minorHAnsi"/>
          <w:sz w:val="20"/>
          <w:szCs w:val="20"/>
        </w:rPr>
        <w:t xml:space="preserve"> (</w:t>
      </w:r>
      <w:proofErr w:type="spellStart"/>
      <w:r w:rsidR="00EB7DE4">
        <w:rPr>
          <w:rFonts w:cstheme="minorHAnsi"/>
          <w:sz w:val="20"/>
          <w:szCs w:val="20"/>
        </w:rPr>
        <w:t>Maeyer</w:t>
      </w:r>
      <w:proofErr w:type="spellEnd"/>
      <w:r w:rsidR="00EB7DE4">
        <w:rPr>
          <w:rFonts w:cstheme="minorHAnsi"/>
          <w:sz w:val="20"/>
          <w:szCs w:val="20"/>
        </w:rPr>
        <w:t>,</w:t>
      </w:r>
      <w:r w:rsidR="00415C82" w:rsidRPr="00415C82">
        <w:rPr>
          <w:rFonts w:cstheme="minorHAnsi"/>
          <w:sz w:val="20"/>
          <w:szCs w:val="20"/>
        </w:rPr>
        <w:t xml:space="preserve"> </w:t>
      </w:r>
      <w:proofErr w:type="spellStart"/>
      <w:r w:rsidR="00415C82" w:rsidRPr="00415C82">
        <w:rPr>
          <w:rFonts w:cstheme="minorHAnsi"/>
          <w:sz w:val="20"/>
          <w:szCs w:val="20"/>
        </w:rPr>
        <w:t>Vanderplasschen</w:t>
      </w:r>
      <w:proofErr w:type="spellEnd"/>
      <w:r w:rsidR="00415C82" w:rsidRPr="00415C82">
        <w:rPr>
          <w:rFonts w:cstheme="minorHAnsi"/>
          <w:sz w:val="20"/>
          <w:szCs w:val="20"/>
        </w:rPr>
        <w:t>,</w:t>
      </w:r>
      <w:r w:rsidR="00415C82">
        <w:rPr>
          <w:rFonts w:cstheme="minorHAnsi"/>
          <w:sz w:val="20"/>
          <w:szCs w:val="20"/>
        </w:rPr>
        <w:t xml:space="preserve"> &amp; </w:t>
      </w:r>
      <w:proofErr w:type="spellStart"/>
      <w:r w:rsidR="00415C82">
        <w:rPr>
          <w:rFonts w:cstheme="minorHAnsi"/>
          <w:sz w:val="20"/>
          <w:szCs w:val="20"/>
        </w:rPr>
        <w:t>Broekaert</w:t>
      </w:r>
      <w:proofErr w:type="spellEnd"/>
      <w:r w:rsidR="00415C82">
        <w:rPr>
          <w:rFonts w:cstheme="minorHAnsi"/>
          <w:sz w:val="20"/>
          <w:szCs w:val="20"/>
        </w:rPr>
        <w:t xml:space="preserve">, </w:t>
      </w:r>
      <w:r w:rsidR="00415C82" w:rsidRPr="00415C82">
        <w:rPr>
          <w:rFonts w:cstheme="minorHAnsi"/>
          <w:sz w:val="20"/>
          <w:szCs w:val="20"/>
        </w:rPr>
        <w:t>2010</w:t>
      </w:r>
      <w:r w:rsidR="00415C82">
        <w:rPr>
          <w:rFonts w:cstheme="minorHAnsi"/>
          <w:sz w:val="20"/>
          <w:szCs w:val="20"/>
        </w:rPr>
        <w:t xml:space="preserve">; </w:t>
      </w:r>
      <w:r w:rsidR="00FC55FA" w:rsidRPr="005441BB">
        <w:rPr>
          <w:rFonts w:eastAsia="Yu Mincho" w:cstheme="minorHAnsi"/>
          <w:sz w:val="20"/>
          <w:szCs w:val="20"/>
        </w:rPr>
        <w:t xml:space="preserve">Moreira </w:t>
      </w:r>
      <w:proofErr w:type="spellStart"/>
      <w:r w:rsidR="00FC55FA" w:rsidRPr="005441BB">
        <w:rPr>
          <w:rFonts w:eastAsia="Yu Mincho" w:cstheme="minorHAnsi"/>
          <w:i/>
          <w:sz w:val="20"/>
          <w:szCs w:val="20"/>
        </w:rPr>
        <w:t>et</w:t>
      </w:r>
      <w:proofErr w:type="spellEnd"/>
      <w:r w:rsidR="00FC55FA" w:rsidRPr="005441BB">
        <w:rPr>
          <w:rFonts w:eastAsia="Yu Mincho" w:cstheme="minorHAnsi"/>
          <w:i/>
          <w:sz w:val="20"/>
          <w:szCs w:val="20"/>
        </w:rPr>
        <w:t xml:space="preserve"> al</w:t>
      </w:r>
      <w:r w:rsidR="00FC55FA" w:rsidRPr="005441BB">
        <w:rPr>
          <w:rFonts w:eastAsia="Yu Mincho" w:cstheme="minorHAnsi"/>
          <w:sz w:val="20"/>
          <w:szCs w:val="20"/>
        </w:rPr>
        <w:t>., 2013)</w:t>
      </w:r>
      <w:r w:rsidR="00EF0C95" w:rsidRPr="005441BB">
        <w:rPr>
          <w:rFonts w:eastAsia="Yu Mincho" w:cstheme="minorHAnsi"/>
          <w:sz w:val="20"/>
          <w:szCs w:val="20"/>
        </w:rPr>
        <w:t xml:space="preserve">. </w:t>
      </w:r>
      <w:r w:rsidR="00746352">
        <w:rPr>
          <w:rFonts w:eastAsia="Yu Mincho" w:cstheme="minorHAnsi"/>
          <w:sz w:val="20"/>
          <w:szCs w:val="20"/>
        </w:rPr>
        <w:t>Os mesmos autores</w:t>
      </w:r>
      <w:r w:rsidR="00EF0C95" w:rsidRPr="005441BB">
        <w:rPr>
          <w:rFonts w:eastAsia="Yu Mincho" w:cstheme="minorHAnsi"/>
          <w:sz w:val="20"/>
          <w:szCs w:val="20"/>
        </w:rPr>
        <w:t xml:space="preserve"> consideram </w:t>
      </w:r>
      <w:r w:rsidR="00C838A7">
        <w:rPr>
          <w:rFonts w:eastAsia="Yu Mincho" w:cstheme="minorHAnsi"/>
          <w:sz w:val="20"/>
          <w:szCs w:val="20"/>
        </w:rPr>
        <w:t xml:space="preserve">ainda </w:t>
      </w:r>
      <w:r w:rsidR="00EF0C95" w:rsidRPr="005441BB">
        <w:rPr>
          <w:rFonts w:eastAsia="Yu Mincho" w:cstheme="minorHAnsi"/>
          <w:sz w:val="20"/>
          <w:szCs w:val="20"/>
        </w:rPr>
        <w:t xml:space="preserve">que a análise dessa dimensão na toxicodependência é de particular relevância, dada a reconhecida perturbação que as drogas acarretam para a vida dos seus consumidores, a nível físico, emocional e social.  </w:t>
      </w:r>
    </w:p>
    <w:p w:rsidR="00EF0C95" w:rsidRPr="005441BB" w:rsidRDefault="00C838A7" w:rsidP="00EF4154">
      <w:pPr>
        <w:autoSpaceDE w:val="0"/>
        <w:autoSpaceDN w:val="0"/>
        <w:adjustRightInd w:val="0"/>
        <w:spacing w:after="0" w:line="360" w:lineRule="auto"/>
        <w:ind w:left="284"/>
        <w:rPr>
          <w:rFonts w:eastAsia="Yu Mincho" w:cstheme="minorHAnsi"/>
          <w:sz w:val="20"/>
          <w:szCs w:val="20"/>
        </w:rPr>
      </w:pPr>
      <w:r>
        <w:rPr>
          <w:rFonts w:eastAsia="Yu Mincho" w:cstheme="minorHAnsi"/>
          <w:sz w:val="20"/>
          <w:szCs w:val="20"/>
        </w:rPr>
        <w:t>Os principais f</w:t>
      </w:r>
      <w:r w:rsidR="00FC55FA" w:rsidRPr="005441BB">
        <w:rPr>
          <w:rFonts w:eastAsia="Yu Mincho" w:cstheme="minorHAnsi"/>
          <w:sz w:val="20"/>
          <w:szCs w:val="20"/>
        </w:rPr>
        <w:t>atores descritos como podendo influenciar a perceção de QV são os fatores sociodemográficos</w:t>
      </w:r>
      <w:r w:rsidR="002D0AE9" w:rsidRPr="005441BB">
        <w:rPr>
          <w:rFonts w:eastAsia="Yu Mincho" w:cstheme="minorHAnsi"/>
          <w:sz w:val="20"/>
          <w:szCs w:val="20"/>
        </w:rPr>
        <w:t xml:space="preserve"> (</w:t>
      </w:r>
      <w:r w:rsidR="00FC55FA" w:rsidRPr="005441BB">
        <w:rPr>
          <w:rFonts w:eastAsia="Yu Mincho" w:cstheme="minorHAnsi"/>
          <w:sz w:val="20"/>
          <w:szCs w:val="20"/>
        </w:rPr>
        <w:t>como o sexo, a idade</w:t>
      </w:r>
      <w:r w:rsidR="002D0AE9" w:rsidRPr="005441BB">
        <w:rPr>
          <w:rFonts w:eastAsia="Yu Mincho" w:cstheme="minorHAnsi"/>
          <w:sz w:val="20"/>
          <w:szCs w:val="20"/>
        </w:rPr>
        <w:t xml:space="preserve"> e</w:t>
      </w:r>
      <w:r w:rsidR="00FC55FA" w:rsidRPr="005441BB">
        <w:rPr>
          <w:rFonts w:eastAsia="Yu Mincho" w:cstheme="minorHAnsi"/>
          <w:sz w:val="20"/>
          <w:szCs w:val="20"/>
        </w:rPr>
        <w:t xml:space="preserve"> o estado civil</w:t>
      </w:r>
      <w:r w:rsidR="002D0AE9" w:rsidRPr="005441BB">
        <w:rPr>
          <w:rFonts w:eastAsia="Yu Mincho" w:cstheme="minorHAnsi"/>
          <w:sz w:val="20"/>
          <w:szCs w:val="20"/>
        </w:rPr>
        <w:t>)</w:t>
      </w:r>
      <w:r>
        <w:rPr>
          <w:rFonts w:eastAsia="Yu Mincho" w:cstheme="minorHAnsi"/>
          <w:sz w:val="20"/>
          <w:szCs w:val="20"/>
        </w:rPr>
        <w:t>, o nível educacional, s</w:t>
      </w:r>
      <w:r w:rsidR="002D0AE9" w:rsidRPr="005441BB">
        <w:rPr>
          <w:rFonts w:eastAsia="Yu Mincho" w:cstheme="minorHAnsi"/>
          <w:sz w:val="20"/>
          <w:szCs w:val="20"/>
        </w:rPr>
        <w:t>ocioeconómico</w:t>
      </w:r>
      <w:r w:rsidR="00FC55FA" w:rsidRPr="005441BB">
        <w:rPr>
          <w:rFonts w:eastAsia="Yu Mincho" w:cstheme="minorHAnsi"/>
          <w:sz w:val="20"/>
          <w:szCs w:val="20"/>
        </w:rPr>
        <w:t xml:space="preserve"> e a raça </w:t>
      </w:r>
      <w:r w:rsidR="002D0AE9" w:rsidRPr="005441BB">
        <w:rPr>
          <w:rFonts w:eastAsia="Yu Mincho" w:cstheme="minorHAnsi"/>
          <w:sz w:val="20"/>
          <w:szCs w:val="20"/>
        </w:rPr>
        <w:t xml:space="preserve">(Moreira </w:t>
      </w:r>
      <w:proofErr w:type="spellStart"/>
      <w:r w:rsidR="002D0AE9" w:rsidRPr="00746352">
        <w:rPr>
          <w:rFonts w:eastAsia="Yu Mincho" w:cstheme="minorHAnsi"/>
          <w:i/>
          <w:sz w:val="20"/>
          <w:szCs w:val="20"/>
        </w:rPr>
        <w:t>et</w:t>
      </w:r>
      <w:proofErr w:type="spellEnd"/>
      <w:r w:rsidR="002D0AE9" w:rsidRPr="00746352">
        <w:rPr>
          <w:rFonts w:eastAsia="Yu Mincho" w:cstheme="minorHAnsi"/>
          <w:i/>
          <w:sz w:val="20"/>
          <w:szCs w:val="20"/>
        </w:rPr>
        <w:t xml:space="preserve"> al.,</w:t>
      </w:r>
      <w:r w:rsidR="002D0AE9" w:rsidRPr="005441BB">
        <w:rPr>
          <w:rFonts w:eastAsia="Yu Mincho" w:cstheme="minorHAnsi"/>
          <w:sz w:val="20"/>
          <w:szCs w:val="20"/>
        </w:rPr>
        <w:t xml:space="preserve"> 2013).</w:t>
      </w:r>
    </w:p>
    <w:p w:rsidR="00EF0C95" w:rsidRPr="005441BB" w:rsidRDefault="00EF0C95" w:rsidP="00EF4154">
      <w:pPr>
        <w:autoSpaceDE w:val="0"/>
        <w:autoSpaceDN w:val="0"/>
        <w:adjustRightInd w:val="0"/>
        <w:spacing w:after="0" w:line="360" w:lineRule="auto"/>
        <w:ind w:left="284"/>
        <w:rPr>
          <w:rFonts w:eastAsia="Yu Mincho" w:cstheme="minorHAnsi"/>
          <w:sz w:val="20"/>
          <w:szCs w:val="20"/>
        </w:rPr>
      </w:pPr>
      <w:r w:rsidRPr="005441BB">
        <w:rPr>
          <w:rFonts w:eastAsia="Yu Mincho" w:cstheme="minorHAnsi"/>
          <w:color w:val="000000"/>
          <w:sz w:val="20"/>
          <w:szCs w:val="20"/>
        </w:rPr>
        <w:t xml:space="preserve">A enfermagem, pelo seu mandato social e pela sua natureza específica pode, no contexto da equipa de saúde, constituir-se como um recurso efetivo do sistema para responder às necessidades de saúde das populações. </w:t>
      </w:r>
      <w:r w:rsidR="00C838A7">
        <w:rPr>
          <w:rFonts w:eastAsia="Yu Mincho" w:cstheme="minorHAnsi"/>
          <w:sz w:val="20"/>
          <w:szCs w:val="20"/>
        </w:rPr>
        <w:t>Também</w:t>
      </w:r>
      <w:r w:rsidRPr="005441BB">
        <w:rPr>
          <w:rFonts w:eastAsia="Yu Mincho" w:cstheme="minorHAnsi"/>
          <w:sz w:val="20"/>
          <w:szCs w:val="20"/>
        </w:rPr>
        <w:t xml:space="preserve"> a avaliação da QV fornece informação pertinente </w:t>
      </w:r>
      <w:r w:rsidR="00C838A7">
        <w:rPr>
          <w:rFonts w:eastAsia="Yu Mincho" w:cstheme="minorHAnsi"/>
          <w:sz w:val="20"/>
          <w:szCs w:val="20"/>
        </w:rPr>
        <w:t xml:space="preserve">sobre </w:t>
      </w:r>
      <w:r w:rsidRPr="005441BB">
        <w:rPr>
          <w:rFonts w:eastAsia="Yu Mincho" w:cstheme="minorHAnsi"/>
          <w:sz w:val="20"/>
          <w:szCs w:val="20"/>
        </w:rPr>
        <w:t xml:space="preserve">a forma como a pessoa integrou as mudanças secundárias à sua doença e tratamento no seu dia-a-dia, proporcionando conhecimento sobre o processo de transição ao longo do tempo (Meleis, 2007). </w:t>
      </w:r>
    </w:p>
    <w:p w:rsidR="009D1689" w:rsidRPr="005441BB" w:rsidRDefault="00C37130" w:rsidP="00EF4154">
      <w:pPr>
        <w:spacing w:line="360" w:lineRule="auto"/>
        <w:ind w:left="284"/>
        <w:rPr>
          <w:rFonts w:cstheme="minorHAnsi"/>
          <w:sz w:val="20"/>
          <w:szCs w:val="20"/>
        </w:rPr>
      </w:pPr>
      <w:r w:rsidRPr="005441BB">
        <w:rPr>
          <w:rFonts w:cstheme="minorHAnsi"/>
          <w:sz w:val="20"/>
          <w:szCs w:val="20"/>
        </w:rPr>
        <w:t xml:space="preserve">A presente investigação foi desenvolvida tendo por base a relevância da temática, ao que se associou a necessidade de melhor identificar as situações de maior vulnerabilidade entre a população estudada, com vista a desenhar uma intervenção mais dirigida às reais necessidades dessa população e mais efetiva. </w:t>
      </w:r>
    </w:p>
    <w:p w:rsidR="00905025" w:rsidRPr="005441BB" w:rsidRDefault="00905025" w:rsidP="005441BB">
      <w:pPr>
        <w:pStyle w:val="PargrafodaLista"/>
        <w:numPr>
          <w:ilvl w:val="0"/>
          <w:numId w:val="3"/>
        </w:numPr>
        <w:spacing w:after="0" w:line="360" w:lineRule="auto"/>
        <w:rPr>
          <w:rFonts w:eastAsia="Times New Roman" w:cstheme="minorHAnsi"/>
          <w:b/>
          <w:spacing w:val="5"/>
          <w:kern w:val="28"/>
          <w:sz w:val="20"/>
          <w:szCs w:val="20"/>
          <w:lang w:val="en-US"/>
        </w:rPr>
      </w:pPr>
      <w:r w:rsidRPr="005441BB">
        <w:rPr>
          <w:rFonts w:eastAsia="Times New Roman" w:cstheme="minorHAnsi"/>
          <w:b/>
          <w:spacing w:val="5"/>
          <w:kern w:val="28"/>
          <w:sz w:val="20"/>
          <w:szCs w:val="20"/>
          <w:lang w:val="en-US"/>
        </w:rPr>
        <w:t>MÉTODO</w:t>
      </w:r>
    </w:p>
    <w:p w:rsidR="00E74B59" w:rsidRPr="00E74B59" w:rsidRDefault="00E17021" w:rsidP="00746352">
      <w:pPr>
        <w:spacing w:line="360" w:lineRule="auto"/>
        <w:ind w:left="284"/>
        <w:rPr>
          <w:rFonts w:cstheme="minorHAnsi"/>
          <w:sz w:val="20"/>
          <w:szCs w:val="20"/>
        </w:rPr>
      </w:pPr>
      <w:r w:rsidRPr="00746352">
        <w:rPr>
          <w:rFonts w:cstheme="minorHAnsi"/>
          <w:sz w:val="20"/>
          <w:szCs w:val="20"/>
        </w:rPr>
        <w:t>O presente estudo inscreve-se no paradigma quantitativo, com um perfil descritivo e transversal.</w:t>
      </w:r>
      <w:r w:rsidR="00746352" w:rsidRPr="00746352">
        <w:rPr>
          <w:rFonts w:cstheme="minorHAnsi"/>
          <w:sz w:val="20"/>
          <w:szCs w:val="20"/>
        </w:rPr>
        <w:t xml:space="preserve"> Incluíram o estudo 108 pessoas</w:t>
      </w:r>
      <w:r w:rsidR="00C838A7">
        <w:rPr>
          <w:rFonts w:cstheme="minorHAnsi"/>
          <w:sz w:val="20"/>
          <w:szCs w:val="20"/>
        </w:rPr>
        <w:t xml:space="preserve"> adultas</w:t>
      </w:r>
      <w:r w:rsidR="00746352" w:rsidRPr="00746352">
        <w:rPr>
          <w:rFonts w:cstheme="minorHAnsi"/>
          <w:sz w:val="20"/>
          <w:szCs w:val="20"/>
        </w:rPr>
        <w:t>, dependentes de substâncias psicoativas, lícitas (álcool) ou ilícitas, que se encontravam em tratamento em unidades de saúde especializadas do Distrito do Porto, que se encontravam conscientes e or</w:t>
      </w:r>
      <w:r w:rsidR="00746352">
        <w:rPr>
          <w:rFonts w:cstheme="minorHAnsi"/>
          <w:sz w:val="20"/>
          <w:szCs w:val="20"/>
        </w:rPr>
        <w:t>ientadas</w:t>
      </w:r>
      <w:r w:rsidR="00746352" w:rsidRPr="00746352">
        <w:rPr>
          <w:rFonts w:cstheme="minorHAnsi"/>
          <w:sz w:val="20"/>
          <w:szCs w:val="20"/>
        </w:rPr>
        <w:t>, e que aceitaram participar voluntariamente no estudo.</w:t>
      </w:r>
      <w:r w:rsidR="00746352">
        <w:rPr>
          <w:rFonts w:cstheme="minorHAnsi"/>
          <w:sz w:val="20"/>
          <w:szCs w:val="20"/>
        </w:rPr>
        <w:t xml:space="preserve"> </w:t>
      </w:r>
      <w:r w:rsidRPr="005441BB">
        <w:rPr>
          <w:rFonts w:cstheme="minorHAnsi"/>
          <w:sz w:val="20"/>
          <w:szCs w:val="20"/>
        </w:rPr>
        <w:t>O método de amostragem utilizado foi de tipo não probabilístico e de conveniência.</w:t>
      </w:r>
      <w:r w:rsidR="00E74B59" w:rsidRPr="00746352">
        <w:rPr>
          <w:rFonts w:cstheme="minorHAnsi"/>
          <w:sz w:val="20"/>
          <w:szCs w:val="20"/>
        </w:rPr>
        <w:t xml:space="preserve"> </w:t>
      </w:r>
    </w:p>
    <w:p w:rsidR="00746352" w:rsidRPr="00746352" w:rsidRDefault="00746352" w:rsidP="00746352">
      <w:pPr>
        <w:spacing w:after="0" w:line="360" w:lineRule="auto"/>
        <w:rPr>
          <w:rFonts w:eastAsia="Times New Roman" w:cstheme="minorHAnsi"/>
          <w:b/>
          <w:iCs/>
          <w:spacing w:val="15"/>
          <w:sz w:val="20"/>
          <w:szCs w:val="20"/>
        </w:rPr>
      </w:pPr>
    </w:p>
    <w:p w:rsidR="003C4FCB" w:rsidRPr="005441BB" w:rsidRDefault="00905025" w:rsidP="005441BB">
      <w:pPr>
        <w:pStyle w:val="PargrafodaLista"/>
        <w:numPr>
          <w:ilvl w:val="1"/>
          <w:numId w:val="5"/>
        </w:numPr>
        <w:spacing w:after="0" w:line="360" w:lineRule="auto"/>
        <w:ind w:left="851" w:hanging="425"/>
        <w:rPr>
          <w:rFonts w:eastAsia="Times New Roman" w:cstheme="minorHAnsi"/>
          <w:b/>
          <w:iCs/>
          <w:spacing w:val="15"/>
          <w:sz w:val="20"/>
          <w:szCs w:val="20"/>
          <w:lang w:val="en-US"/>
        </w:rPr>
      </w:pPr>
      <w:proofErr w:type="spellStart"/>
      <w:r w:rsidRPr="005441BB">
        <w:rPr>
          <w:rFonts w:eastAsia="Times New Roman" w:cstheme="minorHAnsi"/>
          <w:b/>
          <w:iCs/>
          <w:spacing w:val="15"/>
          <w:sz w:val="20"/>
          <w:szCs w:val="20"/>
          <w:lang w:val="en-US"/>
        </w:rPr>
        <w:t>Amostra</w:t>
      </w:r>
      <w:proofErr w:type="spellEnd"/>
    </w:p>
    <w:p w:rsidR="00E17021" w:rsidRPr="005441BB" w:rsidRDefault="00E17021" w:rsidP="005441BB">
      <w:pPr>
        <w:autoSpaceDE w:val="0"/>
        <w:autoSpaceDN w:val="0"/>
        <w:adjustRightInd w:val="0"/>
        <w:spacing w:after="0" w:line="360" w:lineRule="auto"/>
        <w:ind w:left="426"/>
        <w:rPr>
          <w:rFonts w:cstheme="minorHAnsi"/>
          <w:sz w:val="20"/>
          <w:szCs w:val="20"/>
        </w:rPr>
      </w:pPr>
      <w:r w:rsidRPr="005441BB">
        <w:rPr>
          <w:rFonts w:cstheme="minorHAnsi"/>
          <w:sz w:val="20"/>
          <w:szCs w:val="20"/>
        </w:rPr>
        <w:t xml:space="preserve">A amostra </w:t>
      </w:r>
      <w:r w:rsidR="00C838A7">
        <w:rPr>
          <w:rFonts w:cstheme="minorHAnsi"/>
          <w:sz w:val="20"/>
          <w:szCs w:val="20"/>
        </w:rPr>
        <w:t>incluiu</w:t>
      </w:r>
      <w:r w:rsidRPr="005441BB">
        <w:rPr>
          <w:rFonts w:cstheme="minorHAnsi"/>
          <w:sz w:val="20"/>
          <w:szCs w:val="20"/>
        </w:rPr>
        <w:t xml:space="preserve"> 84 pessoas do sexo masculino (78%) e 24 do sexo feminino (22%), com uma média de 45 (</w:t>
      </w:r>
      <w:proofErr w:type="spellStart"/>
      <w:r w:rsidRPr="005441BB">
        <w:rPr>
          <w:rFonts w:cstheme="minorHAnsi"/>
          <w:sz w:val="20"/>
          <w:szCs w:val="20"/>
        </w:rPr>
        <w:t>dp</w:t>
      </w:r>
      <w:proofErr w:type="spellEnd"/>
      <w:r w:rsidRPr="005441BB">
        <w:rPr>
          <w:rFonts w:cstheme="minorHAnsi"/>
          <w:sz w:val="20"/>
          <w:szCs w:val="20"/>
        </w:rPr>
        <w:t>=10,6) anos de idade (</w:t>
      </w:r>
      <w:proofErr w:type="spellStart"/>
      <w:r w:rsidRPr="005441BB">
        <w:rPr>
          <w:rFonts w:cstheme="minorHAnsi"/>
          <w:sz w:val="20"/>
          <w:szCs w:val="20"/>
        </w:rPr>
        <w:t>Mn</w:t>
      </w:r>
      <w:proofErr w:type="spellEnd"/>
      <w:r w:rsidRPr="005441BB">
        <w:rPr>
          <w:rFonts w:cstheme="minorHAnsi"/>
          <w:sz w:val="20"/>
          <w:szCs w:val="20"/>
        </w:rPr>
        <w:t xml:space="preserve"> 22 e Mx 79 anos)</w:t>
      </w:r>
      <w:r w:rsidR="00C838A7">
        <w:rPr>
          <w:rFonts w:cstheme="minorHAnsi"/>
          <w:sz w:val="20"/>
          <w:szCs w:val="20"/>
        </w:rPr>
        <w:t xml:space="preserve">, </w:t>
      </w:r>
      <w:r w:rsidRPr="005441BB">
        <w:rPr>
          <w:rFonts w:cstheme="minorHAnsi"/>
          <w:sz w:val="20"/>
          <w:szCs w:val="20"/>
        </w:rPr>
        <w:t>com baixa escolaridade (</w:t>
      </w:r>
      <m:oMath>
        <m:bar>
          <m:barPr>
            <m:pos m:val="top"/>
            <m:ctrlPr>
              <w:rPr>
                <w:rFonts w:ascii="Cambria Math" w:hAnsi="Cambria Math" w:cstheme="minorHAnsi"/>
                <w:i/>
                <w:sz w:val="20"/>
                <w:szCs w:val="20"/>
              </w:rPr>
            </m:ctrlPr>
          </m:barPr>
          <m:e>
            <m:r>
              <w:rPr>
                <w:rFonts w:ascii="Cambria Math" w:hAnsi="Cambria Math" w:cstheme="minorHAnsi"/>
                <w:sz w:val="20"/>
                <w:szCs w:val="20"/>
              </w:rPr>
              <m:t>X</m:t>
            </m:r>
          </m:e>
        </m:bar>
      </m:oMath>
      <w:r w:rsidRPr="005441BB">
        <w:rPr>
          <w:rFonts w:cstheme="minorHAnsi"/>
          <w:sz w:val="20"/>
          <w:szCs w:val="20"/>
        </w:rPr>
        <w:t>=6,8 anos de escolaridade; dp= 3,39)</w:t>
      </w:r>
      <w:r w:rsidR="00C838A7">
        <w:rPr>
          <w:rFonts w:cstheme="minorHAnsi"/>
          <w:sz w:val="20"/>
          <w:szCs w:val="20"/>
        </w:rPr>
        <w:t xml:space="preserve"> e na sua maioria desempregada </w:t>
      </w:r>
      <w:r w:rsidR="00C838A7">
        <w:rPr>
          <w:rFonts w:eastAsia="Lucida Sans Unicode" w:cstheme="minorHAnsi"/>
          <w:sz w:val="20"/>
          <w:szCs w:val="20"/>
        </w:rPr>
        <w:t>(n=62; 57%)</w:t>
      </w:r>
      <w:r w:rsidRPr="005441BB">
        <w:rPr>
          <w:rFonts w:cstheme="minorHAnsi"/>
          <w:sz w:val="20"/>
          <w:szCs w:val="20"/>
        </w:rPr>
        <w:t>. A maioria residia no Distrito do Porto e em família restrita (n=38; 35%), embora 20% da amostra viv</w:t>
      </w:r>
      <w:r w:rsidR="00C838A7">
        <w:rPr>
          <w:rFonts w:cstheme="minorHAnsi"/>
          <w:sz w:val="20"/>
          <w:szCs w:val="20"/>
        </w:rPr>
        <w:t>esse</w:t>
      </w:r>
      <w:r w:rsidRPr="005441BB">
        <w:rPr>
          <w:rFonts w:cstheme="minorHAnsi"/>
          <w:sz w:val="20"/>
          <w:szCs w:val="20"/>
        </w:rPr>
        <w:t xml:space="preserve"> sozinha.  </w:t>
      </w:r>
      <w:r w:rsidRPr="005441BB">
        <w:rPr>
          <w:rFonts w:eastAsia="Lucida Sans Unicode" w:cstheme="minorHAnsi"/>
          <w:sz w:val="20"/>
          <w:szCs w:val="20"/>
        </w:rPr>
        <w:t>No que diz respeito à</w:t>
      </w:r>
      <w:r w:rsidR="008F241D">
        <w:rPr>
          <w:rFonts w:eastAsia="Lucida Sans Unicode" w:cstheme="minorHAnsi"/>
          <w:sz w:val="20"/>
          <w:szCs w:val="20"/>
        </w:rPr>
        <w:t xml:space="preserve"> </w:t>
      </w:r>
      <w:r w:rsidRPr="005441BB">
        <w:rPr>
          <w:rFonts w:eastAsia="Lucida Sans Unicode" w:cstheme="minorHAnsi"/>
          <w:sz w:val="20"/>
          <w:szCs w:val="20"/>
        </w:rPr>
        <w:t>saúde, devemos salientar que, apesar de todos se encontrarem a realizar tratamento de desabituação, apenas 51 (47%) participantes refe</w:t>
      </w:r>
      <w:r w:rsidR="00746352">
        <w:rPr>
          <w:rFonts w:eastAsia="Lucida Sans Unicode" w:cstheme="minorHAnsi"/>
          <w:sz w:val="20"/>
          <w:szCs w:val="20"/>
        </w:rPr>
        <w:t>riram encontrar-se abstinentes</w:t>
      </w:r>
      <w:r w:rsidRPr="005441BB">
        <w:rPr>
          <w:rFonts w:eastAsia="Lucida Sans Unicode" w:cstheme="minorHAnsi"/>
          <w:sz w:val="20"/>
          <w:szCs w:val="20"/>
        </w:rPr>
        <w:t xml:space="preserve">. </w:t>
      </w:r>
      <w:r w:rsidRPr="005441BB">
        <w:rPr>
          <w:rFonts w:cstheme="minorHAnsi"/>
          <w:sz w:val="20"/>
          <w:szCs w:val="20"/>
        </w:rPr>
        <w:t xml:space="preserve">As drogas consumidas eram diversas, sendo na sua maioria o álcool (n=20; 19%) </w:t>
      </w:r>
      <w:r w:rsidR="008F241D">
        <w:rPr>
          <w:rFonts w:cstheme="minorHAnsi"/>
          <w:sz w:val="20"/>
          <w:szCs w:val="20"/>
        </w:rPr>
        <w:t>isoladamente ou</w:t>
      </w:r>
      <w:r w:rsidRPr="005441BB">
        <w:rPr>
          <w:rFonts w:cstheme="minorHAnsi"/>
          <w:sz w:val="20"/>
          <w:szCs w:val="20"/>
        </w:rPr>
        <w:t xml:space="preserve"> associado a outras drogas, como a heroína, a cocaína ou o cannabis (n=17; 16%), com quantidades de consumo e vias de administração variáveis. </w:t>
      </w:r>
    </w:p>
    <w:p w:rsidR="00E17021" w:rsidRPr="005441BB" w:rsidRDefault="008F241D" w:rsidP="005441BB">
      <w:pPr>
        <w:spacing w:after="0" w:line="360" w:lineRule="auto"/>
        <w:ind w:left="426"/>
        <w:rPr>
          <w:rFonts w:cstheme="minorHAnsi"/>
          <w:sz w:val="20"/>
          <w:szCs w:val="20"/>
        </w:rPr>
      </w:pPr>
      <w:r>
        <w:rPr>
          <w:rFonts w:cstheme="minorHAnsi"/>
          <w:sz w:val="20"/>
          <w:szCs w:val="20"/>
        </w:rPr>
        <w:t xml:space="preserve">Apenas 44% da amostra se encontrava a realizar </w:t>
      </w:r>
      <w:r w:rsidR="00E17021" w:rsidRPr="005441BB">
        <w:rPr>
          <w:rFonts w:cstheme="minorHAnsi"/>
          <w:sz w:val="20"/>
          <w:szCs w:val="20"/>
        </w:rPr>
        <w:t>o primeiro t</w:t>
      </w:r>
      <w:r w:rsidR="00A74EC4">
        <w:rPr>
          <w:rFonts w:cstheme="minorHAnsi"/>
          <w:sz w:val="20"/>
          <w:szCs w:val="20"/>
        </w:rPr>
        <w:t>ratamento de desabituação (n=47)</w:t>
      </w:r>
      <w:r w:rsidR="00E17021" w:rsidRPr="005441BB">
        <w:rPr>
          <w:rFonts w:cstheme="minorHAnsi"/>
          <w:sz w:val="20"/>
          <w:szCs w:val="20"/>
        </w:rPr>
        <w:t xml:space="preserve">, </w:t>
      </w:r>
      <w:r w:rsidR="00A74EC4">
        <w:rPr>
          <w:rFonts w:cstheme="minorHAnsi"/>
          <w:sz w:val="20"/>
          <w:szCs w:val="20"/>
        </w:rPr>
        <w:t xml:space="preserve">pois </w:t>
      </w:r>
      <w:r w:rsidR="00E17021" w:rsidRPr="005441BB">
        <w:rPr>
          <w:rFonts w:cstheme="minorHAnsi"/>
          <w:sz w:val="20"/>
          <w:szCs w:val="20"/>
        </w:rPr>
        <w:t>para a maioria, este tratava-se já de uma nova tentativa de desabituação</w:t>
      </w:r>
      <w:r w:rsidR="00C838A7">
        <w:rPr>
          <w:rFonts w:cstheme="minorHAnsi"/>
          <w:sz w:val="20"/>
          <w:szCs w:val="20"/>
        </w:rPr>
        <w:t>.</w:t>
      </w:r>
    </w:p>
    <w:p w:rsidR="00E17021" w:rsidRPr="005441BB" w:rsidRDefault="00E17021" w:rsidP="005441BB">
      <w:pPr>
        <w:tabs>
          <w:tab w:val="left" w:pos="4740"/>
        </w:tabs>
        <w:spacing w:after="0" w:line="360" w:lineRule="auto"/>
        <w:ind w:left="426"/>
        <w:rPr>
          <w:rFonts w:cstheme="minorHAnsi"/>
          <w:sz w:val="20"/>
          <w:szCs w:val="20"/>
        </w:rPr>
      </w:pPr>
      <w:r w:rsidRPr="005441BB">
        <w:rPr>
          <w:rFonts w:cstheme="minorHAnsi"/>
          <w:sz w:val="20"/>
          <w:szCs w:val="20"/>
        </w:rPr>
        <w:t>Relativamente à idade de início dos consumos, a amostra situou-se entre um mínimo de 3 e um máximo de 45 anos de idade, com uma média de 18 anos de idade (</w:t>
      </w:r>
      <w:proofErr w:type="spellStart"/>
      <w:r w:rsidRPr="005441BB">
        <w:rPr>
          <w:rFonts w:cstheme="minorHAnsi"/>
          <w:sz w:val="20"/>
          <w:szCs w:val="20"/>
        </w:rPr>
        <w:t>dp</w:t>
      </w:r>
      <w:proofErr w:type="spellEnd"/>
      <w:r w:rsidRPr="005441BB">
        <w:rPr>
          <w:rFonts w:cstheme="minorHAnsi"/>
          <w:sz w:val="20"/>
          <w:szCs w:val="20"/>
        </w:rPr>
        <w:t>=7,1).  No entanto, foi possível percebermos que foi para o álcool, que se destacou um início de consumos muito precoce, com 18 participantes a iniciarem os consumos antes dos 10 anos de idade. Cerca de 76% da amostra (n=82) referiu ainda ter outras doenças associadas à dependência, sendo as mais comuns as de foro digestivo (n=20; 19%), a hepatite C (n=11; 10%) e as doenças de foro respiratório (n=10; 9%).</w:t>
      </w:r>
    </w:p>
    <w:p w:rsidR="00E17021" w:rsidRPr="005441BB" w:rsidRDefault="00E17021" w:rsidP="005441BB">
      <w:pPr>
        <w:spacing w:after="0" w:line="360" w:lineRule="auto"/>
        <w:ind w:left="426"/>
        <w:rPr>
          <w:rFonts w:eastAsia="Times New Roman" w:cstheme="minorHAnsi"/>
          <w:b/>
          <w:iCs/>
          <w:spacing w:val="15"/>
          <w:sz w:val="20"/>
          <w:szCs w:val="20"/>
        </w:rPr>
      </w:pPr>
    </w:p>
    <w:p w:rsidR="00E55FF9" w:rsidRPr="005441BB" w:rsidRDefault="00905025" w:rsidP="005441BB">
      <w:pPr>
        <w:pStyle w:val="PargrafodaLista"/>
        <w:numPr>
          <w:ilvl w:val="1"/>
          <w:numId w:val="5"/>
        </w:numPr>
        <w:spacing w:after="0" w:line="360" w:lineRule="auto"/>
        <w:ind w:left="851" w:hanging="425"/>
        <w:rPr>
          <w:rFonts w:eastAsia="Times New Roman" w:cstheme="minorHAnsi"/>
          <w:b/>
          <w:iCs/>
          <w:spacing w:val="15"/>
          <w:sz w:val="20"/>
          <w:szCs w:val="20"/>
        </w:rPr>
      </w:pPr>
      <w:r w:rsidRPr="005441BB">
        <w:rPr>
          <w:rFonts w:eastAsia="Times New Roman" w:cstheme="minorHAnsi"/>
          <w:b/>
          <w:iCs/>
          <w:spacing w:val="15"/>
          <w:sz w:val="20"/>
          <w:szCs w:val="20"/>
        </w:rPr>
        <w:t>Instrumentos de recolha de dados</w:t>
      </w:r>
    </w:p>
    <w:p w:rsidR="00E17021" w:rsidRPr="005441BB" w:rsidRDefault="00E17021" w:rsidP="005441BB">
      <w:pPr>
        <w:spacing w:after="0" w:line="360" w:lineRule="auto"/>
        <w:ind w:left="426"/>
        <w:rPr>
          <w:rFonts w:eastAsia="Calibri" w:cstheme="minorHAnsi"/>
          <w:sz w:val="20"/>
          <w:szCs w:val="20"/>
        </w:rPr>
      </w:pPr>
      <w:r w:rsidRPr="005441BB">
        <w:rPr>
          <w:rFonts w:eastAsia="Calibri" w:cstheme="minorHAnsi"/>
          <w:sz w:val="20"/>
          <w:szCs w:val="20"/>
        </w:rPr>
        <w:t>Para a recolha da informação foram utilizados os seguintes instrumentos:</w:t>
      </w:r>
    </w:p>
    <w:p w:rsidR="00E17021" w:rsidRPr="00C87013" w:rsidRDefault="00E17021" w:rsidP="00415C82">
      <w:pPr>
        <w:pStyle w:val="PargrafodaLista"/>
        <w:numPr>
          <w:ilvl w:val="1"/>
          <w:numId w:val="3"/>
        </w:numPr>
        <w:tabs>
          <w:tab w:val="left" w:pos="567"/>
          <w:tab w:val="left" w:pos="851"/>
        </w:tabs>
        <w:spacing w:after="0" w:line="360" w:lineRule="auto"/>
        <w:ind w:left="426" w:firstLine="141"/>
        <w:rPr>
          <w:rFonts w:eastAsia="Calibri" w:cstheme="minorHAnsi"/>
          <w:sz w:val="20"/>
          <w:szCs w:val="20"/>
        </w:rPr>
      </w:pPr>
      <w:r w:rsidRPr="00C87013">
        <w:rPr>
          <w:rFonts w:eastAsia="Calibri" w:cstheme="minorHAnsi"/>
          <w:sz w:val="20"/>
          <w:szCs w:val="20"/>
        </w:rPr>
        <w:t>Formulário de caracterização sociodemográfica, de saúde e de tratamento, por nós construído</w:t>
      </w:r>
      <w:r w:rsidR="00C838A7">
        <w:rPr>
          <w:rFonts w:eastAsia="Calibri" w:cstheme="minorHAnsi"/>
          <w:sz w:val="20"/>
          <w:szCs w:val="20"/>
        </w:rPr>
        <w:t>, incluindo</w:t>
      </w:r>
      <w:r w:rsidRPr="00C87013">
        <w:rPr>
          <w:rFonts w:eastAsia="Calibri" w:cstheme="minorHAnsi"/>
          <w:sz w:val="20"/>
          <w:szCs w:val="20"/>
        </w:rPr>
        <w:t xml:space="preserve"> um conjunto de questões estruturadas e </w:t>
      </w:r>
      <w:proofErr w:type="spellStart"/>
      <w:r w:rsidRPr="00C87013">
        <w:rPr>
          <w:rFonts w:eastAsia="Calibri" w:cstheme="minorHAnsi"/>
          <w:sz w:val="20"/>
          <w:szCs w:val="20"/>
        </w:rPr>
        <w:t>semi-estru</w:t>
      </w:r>
      <w:r w:rsidR="00C838A7">
        <w:rPr>
          <w:rFonts w:eastAsia="Calibri" w:cstheme="minorHAnsi"/>
          <w:sz w:val="20"/>
          <w:szCs w:val="20"/>
        </w:rPr>
        <w:t>tu</w:t>
      </w:r>
      <w:r w:rsidRPr="00C87013">
        <w:rPr>
          <w:rFonts w:eastAsia="Calibri" w:cstheme="minorHAnsi"/>
          <w:sz w:val="20"/>
          <w:szCs w:val="20"/>
        </w:rPr>
        <w:t>radas</w:t>
      </w:r>
      <w:proofErr w:type="spellEnd"/>
      <w:r w:rsidRPr="00C87013">
        <w:rPr>
          <w:rFonts w:eastAsia="Calibri" w:cstheme="minorHAnsi"/>
          <w:sz w:val="20"/>
          <w:szCs w:val="20"/>
        </w:rPr>
        <w:t>;</w:t>
      </w:r>
    </w:p>
    <w:p w:rsidR="00E17021" w:rsidRPr="00C87013" w:rsidRDefault="00E17021" w:rsidP="00415C82">
      <w:pPr>
        <w:pStyle w:val="PargrafodaLista"/>
        <w:numPr>
          <w:ilvl w:val="1"/>
          <w:numId w:val="3"/>
        </w:numPr>
        <w:tabs>
          <w:tab w:val="left" w:pos="709"/>
          <w:tab w:val="left" w:pos="851"/>
          <w:tab w:val="left" w:pos="1134"/>
        </w:tabs>
        <w:spacing w:after="0" w:line="360" w:lineRule="auto"/>
        <w:ind w:left="426" w:firstLine="141"/>
        <w:rPr>
          <w:rFonts w:eastAsia="Calibri" w:cstheme="minorHAnsi"/>
          <w:sz w:val="20"/>
          <w:szCs w:val="20"/>
        </w:rPr>
      </w:pPr>
      <w:r w:rsidRPr="00C87013">
        <w:rPr>
          <w:rFonts w:eastAsia="Calibri" w:cstheme="minorHAnsi"/>
          <w:i/>
          <w:sz w:val="20"/>
          <w:szCs w:val="20"/>
          <w:lang w:val="en-US"/>
        </w:rPr>
        <w:t xml:space="preserve">Quality of Life </w:t>
      </w:r>
      <w:proofErr w:type="spellStart"/>
      <w:r w:rsidRPr="00C87013">
        <w:rPr>
          <w:rFonts w:eastAsia="Calibri" w:cstheme="minorHAnsi"/>
          <w:i/>
          <w:sz w:val="20"/>
          <w:szCs w:val="20"/>
          <w:lang w:val="en-US"/>
        </w:rPr>
        <w:t>Índex</w:t>
      </w:r>
      <w:proofErr w:type="spellEnd"/>
      <w:r w:rsidRPr="00C87013">
        <w:rPr>
          <w:rFonts w:eastAsia="Calibri" w:cstheme="minorHAnsi"/>
          <w:i/>
          <w:sz w:val="20"/>
          <w:szCs w:val="20"/>
          <w:lang w:val="en-US"/>
        </w:rPr>
        <w:t xml:space="preserve"> (QLI)</w:t>
      </w:r>
      <w:r w:rsidRPr="00C87013">
        <w:rPr>
          <w:rFonts w:eastAsia="Calibri" w:cstheme="minorHAnsi"/>
          <w:sz w:val="20"/>
          <w:szCs w:val="20"/>
          <w:lang w:val="en-US"/>
        </w:rPr>
        <w:t xml:space="preserve"> de </w:t>
      </w:r>
      <w:proofErr w:type="spellStart"/>
      <w:r w:rsidRPr="00C87013">
        <w:rPr>
          <w:rFonts w:eastAsia="Calibri" w:cstheme="minorHAnsi"/>
          <w:sz w:val="20"/>
          <w:szCs w:val="20"/>
          <w:lang w:val="en-US"/>
        </w:rPr>
        <w:t>Ferrans</w:t>
      </w:r>
      <w:proofErr w:type="spellEnd"/>
      <w:r w:rsidRPr="00C87013">
        <w:rPr>
          <w:rFonts w:eastAsia="Calibri" w:cstheme="minorHAnsi"/>
          <w:sz w:val="20"/>
          <w:szCs w:val="20"/>
          <w:lang w:val="en-US"/>
        </w:rPr>
        <w:t xml:space="preserve"> e </w:t>
      </w:r>
      <w:r w:rsidR="00415C82">
        <w:rPr>
          <w:rFonts w:eastAsia="Calibri" w:cstheme="minorHAnsi"/>
          <w:sz w:val="20"/>
          <w:szCs w:val="20"/>
          <w:lang w:val="en-US"/>
        </w:rPr>
        <w:t>Powers (</w:t>
      </w:r>
      <w:proofErr w:type="spellStart"/>
      <w:r w:rsidRPr="00C87013">
        <w:rPr>
          <w:rFonts w:eastAsia="Calibri" w:cstheme="minorHAnsi"/>
          <w:sz w:val="20"/>
          <w:szCs w:val="20"/>
          <w:lang w:val="en-US"/>
        </w:rPr>
        <w:t>Ferrans</w:t>
      </w:r>
      <w:proofErr w:type="spellEnd"/>
      <w:r w:rsidRPr="00C87013">
        <w:rPr>
          <w:rFonts w:eastAsia="Calibri" w:cstheme="minorHAnsi"/>
          <w:sz w:val="20"/>
          <w:szCs w:val="20"/>
          <w:lang w:val="en-US"/>
        </w:rPr>
        <w:t>, 2005</w:t>
      </w:r>
      <w:r w:rsidR="00415C82">
        <w:rPr>
          <w:rFonts w:eastAsia="Calibri" w:cstheme="minorHAnsi"/>
          <w:sz w:val="20"/>
          <w:szCs w:val="20"/>
          <w:lang w:val="en-US"/>
        </w:rPr>
        <w:t xml:space="preserve">; </w:t>
      </w:r>
      <w:proofErr w:type="spellStart"/>
      <w:r w:rsidR="00415C82">
        <w:rPr>
          <w:rFonts w:eastAsia="Calibri" w:cstheme="minorHAnsi"/>
          <w:sz w:val="20"/>
          <w:szCs w:val="20"/>
          <w:lang w:val="en-US"/>
        </w:rPr>
        <w:t>Ferrans</w:t>
      </w:r>
      <w:proofErr w:type="spellEnd"/>
      <w:r w:rsidR="00415C82">
        <w:rPr>
          <w:rFonts w:eastAsia="Calibri" w:cstheme="minorHAnsi"/>
          <w:sz w:val="20"/>
          <w:szCs w:val="20"/>
          <w:lang w:val="en-US"/>
        </w:rPr>
        <w:t xml:space="preserve"> &amp; Powers, </w:t>
      </w:r>
      <w:r w:rsidR="00415C82" w:rsidRPr="00415C82">
        <w:rPr>
          <w:rFonts w:eastAsia="Calibri" w:cstheme="minorHAnsi"/>
          <w:sz w:val="20"/>
          <w:szCs w:val="20"/>
          <w:lang w:val="en-US"/>
        </w:rPr>
        <w:t>2011).</w:t>
      </w:r>
      <w:r w:rsidRPr="00C87013">
        <w:rPr>
          <w:rFonts w:eastAsia="Calibri" w:cstheme="minorHAnsi"/>
          <w:sz w:val="20"/>
          <w:szCs w:val="20"/>
          <w:lang w:val="en-US"/>
        </w:rPr>
        <w:t xml:space="preserve"> </w:t>
      </w:r>
      <w:r w:rsidR="00C838A7">
        <w:rPr>
          <w:rFonts w:eastAsia="Calibri" w:cstheme="minorHAnsi"/>
          <w:sz w:val="20"/>
          <w:szCs w:val="20"/>
        </w:rPr>
        <w:t>I</w:t>
      </w:r>
      <w:r w:rsidRPr="00C87013">
        <w:rPr>
          <w:rFonts w:eastAsia="Calibri" w:cstheme="minorHAnsi"/>
          <w:sz w:val="20"/>
          <w:szCs w:val="20"/>
        </w:rPr>
        <w:t xml:space="preserve">nstrumento desenvolvido com o objetivo de avaliar a QV, tanto das pessoas saudáveis como </w:t>
      </w:r>
      <w:r w:rsidR="00C838A7">
        <w:rPr>
          <w:rFonts w:eastAsia="Calibri" w:cstheme="minorHAnsi"/>
          <w:sz w:val="20"/>
          <w:szCs w:val="20"/>
        </w:rPr>
        <w:t>doentes</w:t>
      </w:r>
      <w:r w:rsidRPr="00C87013">
        <w:rPr>
          <w:rFonts w:eastAsia="Calibri" w:cstheme="minorHAnsi"/>
          <w:sz w:val="20"/>
          <w:szCs w:val="20"/>
        </w:rPr>
        <w:t xml:space="preserve">. As várias versões têm, genericamente, os mesmos itens (33 itens), com exceção da inclusão de itens quando se pretende a sua aplicação a situações clínicas específicas. Está traduzido e adaptado para cerca de 20 idiomas diferentes, entre eles o Português, disponíveis na página web </w:t>
      </w:r>
      <w:hyperlink r:id="rId9" w:history="1">
        <w:r w:rsidRPr="00C87013">
          <w:rPr>
            <w:rFonts w:eastAsia="Calibri" w:cstheme="minorHAnsi"/>
            <w:sz w:val="20"/>
            <w:szCs w:val="20"/>
          </w:rPr>
          <w:t>http://www.uic.edu/orgs/qli/</w:t>
        </w:r>
      </w:hyperlink>
      <w:r w:rsidRPr="00C87013">
        <w:rPr>
          <w:rFonts w:eastAsia="Calibri" w:cstheme="minorHAnsi"/>
          <w:sz w:val="20"/>
          <w:szCs w:val="20"/>
        </w:rPr>
        <w:t xml:space="preserve">. </w:t>
      </w:r>
      <w:r w:rsidR="002E4960">
        <w:rPr>
          <w:rFonts w:eastAsia="Calibri" w:cstheme="minorHAnsi"/>
          <w:sz w:val="20"/>
          <w:szCs w:val="20"/>
        </w:rPr>
        <w:t xml:space="preserve">A sua </w:t>
      </w:r>
      <w:r w:rsidRPr="00C87013">
        <w:rPr>
          <w:rFonts w:eastAsia="Calibri" w:cstheme="minorHAnsi"/>
          <w:sz w:val="20"/>
          <w:szCs w:val="20"/>
        </w:rPr>
        <w:t xml:space="preserve">versão genérica III </w:t>
      </w:r>
      <w:r w:rsidR="00D4556D">
        <w:rPr>
          <w:rFonts w:eastAsia="Calibri" w:cstheme="minorHAnsi"/>
          <w:sz w:val="20"/>
          <w:szCs w:val="20"/>
        </w:rPr>
        <w:t>foi</w:t>
      </w:r>
      <w:r w:rsidRPr="00C87013">
        <w:rPr>
          <w:rFonts w:eastAsia="Calibri" w:cstheme="minorHAnsi"/>
          <w:sz w:val="20"/>
          <w:szCs w:val="20"/>
        </w:rPr>
        <w:t xml:space="preserve"> </w:t>
      </w:r>
      <w:r w:rsidR="00D4556D">
        <w:rPr>
          <w:rFonts w:eastAsia="Calibri" w:cstheme="minorHAnsi"/>
          <w:sz w:val="20"/>
          <w:szCs w:val="20"/>
        </w:rPr>
        <w:t xml:space="preserve">adaptada para a cultura brasileira por </w:t>
      </w:r>
      <w:proofErr w:type="spellStart"/>
      <w:r w:rsidRPr="00C87013">
        <w:rPr>
          <w:rFonts w:eastAsia="Calibri" w:cstheme="minorHAnsi"/>
          <w:sz w:val="20"/>
          <w:szCs w:val="20"/>
        </w:rPr>
        <w:t>Kimura</w:t>
      </w:r>
      <w:proofErr w:type="spellEnd"/>
      <w:r w:rsidRPr="00C87013">
        <w:rPr>
          <w:rFonts w:eastAsia="Calibri" w:cstheme="minorHAnsi"/>
          <w:sz w:val="20"/>
          <w:szCs w:val="20"/>
        </w:rPr>
        <w:t xml:space="preserve"> </w:t>
      </w:r>
      <w:r w:rsidR="00D4556D">
        <w:rPr>
          <w:rFonts w:eastAsia="Calibri" w:cstheme="minorHAnsi"/>
          <w:sz w:val="20"/>
          <w:szCs w:val="20"/>
        </w:rPr>
        <w:t>e Silva</w:t>
      </w:r>
      <w:r w:rsidRPr="00C87013">
        <w:rPr>
          <w:rFonts w:eastAsia="Calibri" w:cstheme="minorHAnsi"/>
          <w:sz w:val="20"/>
          <w:szCs w:val="20"/>
        </w:rPr>
        <w:t xml:space="preserve"> </w:t>
      </w:r>
      <w:r w:rsidR="00D4556D">
        <w:rPr>
          <w:rFonts w:eastAsia="Calibri" w:cstheme="minorHAnsi"/>
          <w:sz w:val="20"/>
          <w:szCs w:val="20"/>
        </w:rPr>
        <w:t>(</w:t>
      </w:r>
      <w:r w:rsidRPr="00C87013">
        <w:rPr>
          <w:rFonts w:eastAsia="Calibri" w:cstheme="minorHAnsi"/>
          <w:sz w:val="20"/>
          <w:szCs w:val="20"/>
        </w:rPr>
        <w:t>2009)</w:t>
      </w:r>
      <w:r w:rsidR="00D4556D">
        <w:rPr>
          <w:rFonts w:eastAsia="Calibri" w:cstheme="minorHAnsi"/>
          <w:sz w:val="20"/>
          <w:szCs w:val="20"/>
        </w:rPr>
        <w:t xml:space="preserve"> e para a</w:t>
      </w:r>
      <w:r w:rsidRPr="00C87013">
        <w:rPr>
          <w:rFonts w:eastAsia="Calibri" w:cstheme="minorHAnsi"/>
          <w:sz w:val="20"/>
          <w:szCs w:val="20"/>
        </w:rPr>
        <w:t xml:space="preserve"> portuguesa num estudo com doentes de transplante renal </w:t>
      </w:r>
      <w:r w:rsidR="00D4556D">
        <w:rPr>
          <w:rFonts w:eastAsia="Calibri" w:cstheme="minorHAnsi"/>
          <w:sz w:val="20"/>
          <w:szCs w:val="20"/>
        </w:rPr>
        <w:t xml:space="preserve">desenvolvido </w:t>
      </w:r>
      <w:r w:rsidRPr="00C87013">
        <w:rPr>
          <w:rFonts w:eastAsia="Calibri" w:cstheme="minorHAnsi"/>
          <w:sz w:val="20"/>
          <w:szCs w:val="20"/>
        </w:rPr>
        <w:t>por Pinto (1998).</w:t>
      </w:r>
    </w:p>
    <w:p w:rsidR="00E17021" w:rsidRPr="005441BB" w:rsidRDefault="00E17021" w:rsidP="005441BB">
      <w:pPr>
        <w:tabs>
          <w:tab w:val="left" w:pos="567"/>
        </w:tabs>
        <w:spacing w:after="0" w:line="360" w:lineRule="auto"/>
        <w:ind w:left="426"/>
        <w:rPr>
          <w:rFonts w:eastAsia="Calibri" w:cstheme="minorHAnsi"/>
          <w:sz w:val="20"/>
          <w:szCs w:val="20"/>
        </w:rPr>
      </w:pPr>
      <w:r w:rsidRPr="005441BB">
        <w:rPr>
          <w:rFonts w:cstheme="minorHAnsi"/>
          <w:sz w:val="20"/>
          <w:szCs w:val="20"/>
        </w:rPr>
        <w:t xml:space="preserve">O QLI é composto por quatro </w:t>
      </w:r>
      <w:proofErr w:type="spellStart"/>
      <w:r w:rsidRPr="005441BB">
        <w:rPr>
          <w:rFonts w:cstheme="minorHAnsi"/>
          <w:sz w:val="20"/>
          <w:szCs w:val="20"/>
        </w:rPr>
        <w:t>subscalas</w:t>
      </w:r>
      <w:proofErr w:type="spellEnd"/>
      <w:r w:rsidRPr="005441BB">
        <w:rPr>
          <w:rFonts w:cstheme="minorHAnsi"/>
          <w:sz w:val="20"/>
          <w:szCs w:val="20"/>
        </w:rPr>
        <w:t xml:space="preserve">: Saúde e Funcionalidade (SF) com 13 itens; Social e Económica (SE) com 8 itens; Psicológica e Espiritual (PE) com 7 itens </w:t>
      </w:r>
      <w:proofErr w:type="gramStart"/>
      <w:r w:rsidRPr="005441BB">
        <w:rPr>
          <w:rFonts w:cstheme="minorHAnsi"/>
          <w:sz w:val="20"/>
          <w:szCs w:val="20"/>
        </w:rPr>
        <w:t>e Familiar</w:t>
      </w:r>
      <w:proofErr w:type="gramEnd"/>
      <w:r w:rsidRPr="005441BB">
        <w:rPr>
          <w:rFonts w:cstheme="minorHAnsi"/>
          <w:sz w:val="20"/>
          <w:szCs w:val="20"/>
        </w:rPr>
        <w:t xml:space="preserve"> (F) com 5 itens. Apresenta ainda uma medida global da QV (QLI Global). </w:t>
      </w:r>
      <w:r w:rsidRPr="005441BB">
        <w:rPr>
          <w:rFonts w:eastAsia="Times New Roman" w:cstheme="minorHAnsi"/>
          <w:sz w:val="20"/>
          <w:szCs w:val="20"/>
        </w:rPr>
        <w:t xml:space="preserve">A escala inclui 33 itens referentes à </w:t>
      </w:r>
      <w:r w:rsidRPr="005441BB">
        <w:rPr>
          <w:rFonts w:eastAsia="Times New Roman" w:cstheme="minorHAnsi"/>
          <w:i/>
          <w:sz w:val="20"/>
          <w:szCs w:val="20"/>
        </w:rPr>
        <w:t>Satisfação</w:t>
      </w:r>
      <w:r w:rsidRPr="005441BB">
        <w:rPr>
          <w:rFonts w:eastAsia="Times New Roman" w:cstheme="minorHAnsi"/>
          <w:sz w:val="20"/>
          <w:szCs w:val="20"/>
        </w:rPr>
        <w:t xml:space="preserve"> e 33 à </w:t>
      </w:r>
      <w:r w:rsidRPr="005441BB">
        <w:rPr>
          <w:rFonts w:eastAsia="Times New Roman" w:cstheme="minorHAnsi"/>
          <w:i/>
          <w:sz w:val="20"/>
          <w:szCs w:val="20"/>
        </w:rPr>
        <w:t>Importância</w:t>
      </w:r>
      <w:r w:rsidRPr="005441BB">
        <w:rPr>
          <w:rFonts w:eastAsia="Times New Roman" w:cstheme="minorHAnsi"/>
          <w:sz w:val="20"/>
          <w:szCs w:val="20"/>
        </w:rPr>
        <w:t xml:space="preserve">, sendo a resposta dada numa escala tipo </w:t>
      </w:r>
      <w:proofErr w:type="spellStart"/>
      <w:r w:rsidRPr="005441BB">
        <w:rPr>
          <w:rFonts w:eastAsia="Times New Roman" w:cstheme="minorHAnsi"/>
          <w:sz w:val="20"/>
          <w:szCs w:val="20"/>
        </w:rPr>
        <w:t>likert</w:t>
      </w:r>
      <w:proofErr w:type="spellEnd"/>
      <w:r w:rsidRPr="005441BB">
        <w:rPr>
          <w:rFonts w:eastAsia="Times New Roman" w:cstheme="minorHAnsi"/>
          <w:sz w:val="20"/>
          <w:szCs w:val="20"/>
        </w:rPr>
        <w:t xml:space="preserve"> com seis pontos, em que o valor 1 corresponde a “muito insatisfeito” e “sem nenhuma importância” e o valor 6 a “muito satisfeito” e “muito importante”. Os </w:t>
      </w:r>
      <w:r w:rsidR="00AB2ACD" w:rsidRPr="005441BB">
        <w:rPr>
          <w:rFonts w:eastAsia="Times New Roman" w:cstheme="minorHAnsi"/>
          <w:sz w:val="20"/>
          <w:szCs w:val="20"/>
        </w:rPr>
        <w:t xml:space="preserve">resultados são apresentados em scores que </w:t>
      </w:r>
      <w:r w:rsidRPr="005441BB">
        <w:rPr>
          <w:rFonts w:eastAsia="Times New Roman" w:cstheme="minorHAnsi"/>
          <w:sz w:val="20"/>
          <w:szCs w:val="20"/>
        </w:rPr>
        <w:t xml:space="preserve">variam entre 0 e 30, em que valores mais elevados correspondem a maior </w:t>
      </w:r>
      <w:r w:rsidR="00AB2ACD" w:rsidRPr="005441BB">
        <w:rPr>
          <w:rFonts w:eastAsia="Times New Roman" w:cstheme="minorHAnsi"/>
          <w:sz w:val="20"/>
          <w:szCs w:val="20"/>
        </w:rPr>
        <w:t>“</w:t>
      </w:r>
      <w:r w:rsidR="00AB2ACD" w:rsidRPr="005441BB">
        <w:rPr>
          <w:rFonts w:eastAsia="Times New Roman" w:cstheme="minorHAnsi"/>
          <w:i/>
          <w:sz w:val="20"/>
          <w:szCs w:val="20"/>
        </w:rPr>
        <w:t>Satisfação/I</w:t>
      </w:r>
      <w:r w:rsidRPr="005441BB">
        <w:rPr>
          <w:rFonts w:eastAsia="Times New Roman" w:cstheme="minorHAnsi"/>
          <w:i/>
          <w:sz w:val="20"/>
          <w:szCs w:val="20"/>
        </w:rPr>
        <w:t>mportância</w:t>
      </w:r>
      <w:r w:rsidR="00AB2ACD" w:rsidRPr="005441BB">
        <w:rPr>
          <w:rFonts w:eastAsia="Times New Roman" w:cstheme="minorHAnsi"/>
          <w:sz w:val="20"/>
          <w:szCs w:val="20"/>
        </w:rPr>
        <w:t>”</w:t>
      </w:r>
      <w:r w:rsidRPr="005441BB">
        <w:rPr>
          <w:rFonts w:eastAsia="Times New Roman" w:cstheme="minorHAnsi"/>
          <w:sz w:val="20"/>
          <w:szCs w:val="20"/>
        </w:rPr>
        <w:t>.</w:t>
      </w:r>
      <w:r w:rsidR="00AB2ACD" w:rsidRPr="005441BB">
        <w:rPr>
          <w:rFonts w:eastAsia="Calibri" w:cstheme="minorHAnsi"/>
          <w:sz w:val="20"/>
          <w:szCs w:val="20"/>
        </w:rPr>
        <w:t xml:space="preserve"> </w:t>
      </w:r>
    </w:p>
    <w:p w:rsidR="00E17021" w:rsidRPr="005441BB" w:rsidRDefault="002E4960" w:rsidP="005441BB">
      <w:pPr>
        <w:spacing w:after="0" w:line="360" w:lineRule="auto"/>
        <w:ind w:left="426"/>
        <w:rPr>
          <w:rFonts w:cstheme="minorHAnsi"/>
          <w:sz w:val="20"/>
          <w:szCs w:val="20"/>
        </w:rPr>
      </w:pPr>
      <w:r>
        <w:rPr>
          <w:rFonts w:eastAsia="Calibri" w:cstheme="minorHAnsi"/>
          <w:sz w:val="20"/>
          <w:szCs w:val="20"/>
        </w:rPr>
        <w:lastRenderedPageBreak/>
        <w:t xml:space="preserve">Apesar do </w:t>
      </w:r>
      <w:r w:rsidR="00E17021" w:rsidRPr="005441BB">
        <w:rPr>
          <w:rFonts w:eastAsia="Calibri" w:cstheme="minorHAnsi"/>
          <w:sz w:val="20"/>
          <w:szCs w:val="20"/>
        </w:rPr>
        <w:t xml:space="preserve">QLI genérico - versão III, ainda não </w:t>
      </w:r>
      <w:r w:rsidR="00D4556D">
        <w:rPr>
          <w:rFonts w:eastAsia="Calibri" w:cstheme="minorHAnsi"/>
          <w:sz w:val="20"/>
          <w:szCs w:val="20"/>
        </w:rPr>
        <w:t>ter sido</w:t>
      </w:r>
      <w:r>
        <w:rPr>
          <w:rFonts w:eastAsia="Calibri" w:cstheme="minorHAnsi"/>
          <w:sz w:val="20"/>
          <w:szCs w:val="20"/>
        </w:rPr>
        <w:t xml:space="preserve"> validado </w:t>
      </w:r>
      <w:r w:rsidR="00D4556D">
        <w:rPr>
          <w:rFonts w:eastAsia="Calibri" w:cstheme="minorHAnsi"/>
          <w:sz w:val="20"/>
          <w:szCs w:val="20"/>
        </w:rPr>
        <w:t xml:space="preserve">de forma consistente </w:t>
      </w:r>
      <w:r>
        <w:rPr>
          <w:rFonts w:eastAsia="Calibri" w:cstheme="minorHAnsi"/>
          <w:sz w:val="20"/>
          <w:szCs w:val="20"/>
        </w:rPr>
        <w:t xml:space="preserve">para a população em estudo, </w:t>
      </w:r>
      <w:r>
        <w:rPr>
          <w:rFonts w:cstheme="minorHAnsi"/>
          <w:sz w:val="20"/>
          <w:szCs w:val="20"/>
        </w:rPr>
        <w:t>os</w:t>
      </w:r>
      <w:r w:rsidR="00E17021" w:rsidRPr="005441BB">
        <w:rPr>
          <w:rFonts w:cstheme="minorHAnsi"/>
          <w:sz w:val="20"/>
          <w:szCs w:val="20"/>
        </w:rPr>
        <w:t xml:space="preserve"> </w:t>
      </w:r>
      <w:r>
        <w:rPr>
          <w:rFonts w:cstheme="minorHAnsi"/>
          <w:sz w:val="20"/>
          <w:szCs w:val="20"/>
        </w:rPr>
        <w:t xml:space="preserve">valores dos coeficientes </w:t>
      </w:r>
      <w:r w:rsidRPr="002E4960">
        <w:rPr>
          <w:rFonts w:cstheme="minorHAnsi"/>
          <w:i/>
          <w:sz w:val="20"/>
          <w:szCs w:val="20"/>
        </w:rPr>
        <w:t xml:space="preserve">alfa de </w:t>
      </w:r>
      <w:proofErr w:type="spellStart"/>
      <w:r w:rsidRPr="002E4960">
        <w:rPr>
          <w:rFonts w:cstheme="minorHAnsi"/>
          <w:i/>
          <w:sz w:val="20"/>
          <w:szCs w:val="20"/>
        </w:rPr>
        <w:t>cronbach</w:t>
      </w:r>
      <w:proofErr w:type="spellEnd"/>
      <w:r w:rsidRPr="005441BB">
        <w:rPr>
          <w:rFonts w:cstheme="minorHAnsi"/>
          <w:sz w:val="20"/>
          <w:szCs w:val="20"/>
        </w:rPr>
        <w:t xml:space="preserve"> </w:t>
      </w:r>
      <w:r>
        <w:rPr>
          <w:rFonts w:cstheme="minorHAnsi"/>
          <w:sz w:val="20"/>
          <w:szCs w:val="20"/>
        </w:rPr>
        <w:t xml:space="preserve">das diferentes </w:t>
      </w:r>
      <w:proofErr w:type="spellStart"/>
      <w:r>
        <w:rPr>
          <w:rFonts w:cstheme="minorHAnsi"/>
          <w:sz w:val="20"/>
          <w:szCs w:val="20"/>
        </w:rPr>
        <w:t>subscalas</w:t>
      </w:r>
      <w:proofErr w:type="spellEnd"/>
      <w:r>
        <w:rPr>
          <w:rFonts w:cstheme="minorHAnsi"/>
          <w:sz w:val="20"/>
          <w:szCs w:val="20"/>
        </w:rPr>
        <w:t xml:space="preserve"> </w:t>
      </w:r>
      <w:r w:rsidR="00D4556D">
        <w:rPr>
          <w:rFonts w:cstheme="minorHAnsi"/>
          <w:sz w:val="20"/>
          <w:szCs w:val="20"/>
        </w:rPr>
        <w:t>apresentaram, no presente estudo,</w:t>
      </w:r>
      <w:r>
        <w:rPr>
          <w:rFonts w:cstheme="minorHAnsi"/>
          <w:sz w:val="20"/>
          <w:szCs w:val="20"/>
        </w:rPr>
        <w:t xml:space="preserve"> valores aceitáveis </w:t>
      </w:r>
      <w:r w:rsidR="00E17021" w:rsidRPr="005441BB">
        <w:rPr>
          <w:rFonts w:cstheme="minorHAnsi"/>
          <w:sz w:val="20"/>
          <w:szCs w:val="20"/>
        </w:rPr>
        <w:t>(entre 0,</w:t>
      </w:r>
      <w:r>
        <w:rPr>
          <w:rFonts w:cstheme="minorHAnsi"/>
          <w:sz w:val="20"/>
          <w:szCs w:val="20"/>
        </w:rPr>
        <w:t>60</w:t>
      </w:r>
      <w:r w:rsidR="00E17021" w:rsidRPr="005441BB">
        <w:rPr>
          <w:rFonts w:cstheme="minorHAnsi"/>
          <w:sz w:val="20"/>
          <w:szCs w:val="20"/>
        </w:rPr>
        <w:t xml:space="preserve"> e 0,80), especialmente tendo em conta o número reduzido de itens em algumas </w:t>
      </w:r>
      <w:proofErr w:type="spellStart"/>
      <w:r w:rsidR="00E17021" w:rsidRPr="005441BB">
        <w:rPr>
          <w:rFonts w:cstheme="minorHAnsi"/>
          <w:sz w:val="20"/>
          <w:szCs w:val="20"/>
        </w:rPr>
        <w:t>subscalas</w:t>
      </w:r>
      <w:proofErr w:type="spellEnd"/>
      <w:r w:rsidR="00E17021" w:rsidRPr="005441BB">
        <w:rPr>
          <w:rFonts w:cstheme="minorHAnsi"/>
          <w:sz w:val="20"/>
          <w:szCs w:val="20"/>
        </w:rPr>
        <w:t xml:space="preserve"> (Ribeiro, </w:t>
      </w:r>
      <w:r w:rsidR="008E5FCF" w:rsidRPr="005441BB">
        <w:rPr>
          <w:rFonts w:cstheme="minorHAnsi"/>
          <w:sz w:val="20"/>
          <w:szCs w:val="20"/>
        </w:rPr>
        <w:t>2010</w:t>
      </w:r>
      <w:r w:rsidR="00E17021" w:rsidRPr="005441BB">
        <w:rPr>
          <w:rFonts w:cstheme="minorHAnsi"/>
          <w:sz w:val="20"/>
          <w:szCs w:val="20"/>
        </w:rPr>
        <w:t>). O da escala global foi bom (0,87), e em consonância com os valores de outros estudos (</w:t>
      </w:r>
      <w:proofErr w:type="spellStart"/>
      <w:r w:rsidR="00E17021" w:rsidRPr="005441BB">
        <w:rPr>
          <w:rFonts w:cstheme="minorHAnsi"/>
          <w:sz w:val="20"/>
          <w:szCs w:val="20"/>
        </w:rPr>
        <w:t>Ferrans</w:t>
      </w:r>
      <w:proofErr w:type="spellEnd"/>
      <w:r w:rsidR="00E17021" w:rsidRPr="005441BB">
        <w:rPr>
          <w:rFonts w:cstheme="minorHAnsi"/>
          <w:sz w:val="20"/>
          <w:szCs w:val="20"/>
        </w:rPr>
        <w:t xml:space="preserve"> &amp; </w:t>
      </w:r>
      <w:proofErr w:type="spellStart"/>
      <w:r w:rsidR="00E17021" w:rsidRPr="005441BB">
        <w:rPr>
          <w:rFonts w:cstheme="minorHAnsi"/>
          <w:sz w:val="20"/>
          <w:szCs w:val="20"/>
        </w:rPr>
        <w:t>Powers</w:t>
      </w:r>
      <w:proofErr w:type="spellEnd"/>
      <w:r w:rsidR="00E17021" w:rsidRPr="005441BB">
        <w:rPr>
          <w:rFonts w:cstheme="minorHAnsi"/>
          <w:sz w:val="20"/>
          <w:szCs w:val="20"/>
        </w:rPr>
        <w:t>, 2011; Pinto, 1998).</w:t>
      </w:r>
    </w:p>
    <w:p w:rsidR="00E17021" w:rsidRPr="005441BB" w:rsidRDefault="00E17021" w:rsidP="005441BB">
      <w:pPr>
        <w:pStyle w:val="PargrafodaLista"/>
        <w:spacing w:after="0" w:line="360" w:lineRule="auto"/>
        <w:ind w:left="1134"/>
        <w:rPr>
          <w:rFonts w:eastAsia="Times New Roman" w:cstheme="minorHAnsi"/>
          <w:b/>
          <w:iCs/>
          <w:spacing w:val="15"/>
          <w:sz w:val="20"/>
          <w:szCs w:val="20"/>
        </w:rPr>
      </w:pPr>
    </w:p>
    <w:p w:rsidR="003904D7" w:rsidRPr="005441BB" w:rsidRDefault="00905025" w:rsidP="005441BB">
      <w:pPr>
        <w:pStyle w:val="PargrafodaLista"/>
        <w:numPr>
          <w:ilvl w:val="1"/>
          <w:numId w:val="5"/>
        </w:numPr>
        <w:spacing w:after="0" w:line="360" w:lineRule="auto"/>
        <w:ind w:left="851" w:hanging="425"/>
        <w:rPr>
          <w:rFonts w:eastAsia="Times New Roman" w:cstheme="minorHAnsi"/>
          <w:b/>
          <w:iCs/>
          <w:spacing w:val="15"/>
          <w:sz w:val="20"/>
          <w:szCs w:val="20"/>
          <w:lang w:val="en-US"/>
        </w:rPr>
      </w:pPr>
      <w:proofErr w:type="spellStart"/>
      <w:r w:rsidRPr="005441BB">
        <w:rPr>
          <w:rFonts w:eastAsia="Times New Roman" w:cstheme="minorHAnsi"/>
          <w:b/>
          <w:iCs/>
          <w:spacing w:val="15"/>
          <w:sz w:val="20"/>
          <w:szCs w:val="20"/>
          <w:lang w:val="en-US"/>
        </w:rPr>
        <w:t>Procedimentos</w:t>
      </w:r>
      <w:proofErr w:type="spellEnd"/>
    </w:p>
    <w:p w:rsidR="00E17021" w:rsidRDefault="002E4960" w:rsidP="00993391">
      <w:pPr>
        <w:tabs>
          <w:tab w:val="left" w:pos="4740"/>
        </w:tabs>
        <w:spacing w:after="0" w:line="360" w:lineRule="auto"/>
        <w:ind w:left="426"/>
        <w:rPr>
          <w:rFonts w:eastAsia="Calibri" w:cstheme="minorHAnsi"/>
          <w:sz w:val="20"/>
          <w:szCs w:val="20"/>
        </w:rPr>
      </w:pPr>
      <w:r>
        <w:rPr>
          <w:rFonts w:cstheme="minorHAnsi"/>
          <w:sz w:val="20"/>
          <w:szCs w:val="20"/>
        </w:rPr>
        <w:t>No sentido de procedermos à recolha de dados, os potenciais participantes na amostra</w:t>
      </w:r>
      <w:r w:rsidR="00E17021" w:rsidRPr="005441BB">
        <w:rPr>
          <w:rFonts w:cstheme="minorHAnsi"/>
          <w:sz w:val="20"/>
          <w:szCs w:val="20"/>
        </w:rPr>
        <w:t xml:space="preserve"> </w:t>
      </w:r>
      <w:r w:rsidR="00D4556D">
        <w:rPr>
          <w:rFonts w:cstheme="minorHAnsi"/>
          <w:sz w:val="20"/>
          <w:szCs w:val="20"/>
        </w:rPr>
        <w:t>foram</w:t>
      </w:r>
      <w:r w:rsidR="00E17021" w:rsidRPr="005441BB">
        <w:rPr>
          <w:rFonts w:cstheme="minorHAnsi"/>
          <w:sz w:val="20"/>
          <w:szCs w:val="20"/>
        </w:rPr>
        <w:t xml:space="preserve"> </w:t>
      </w:r>
      <w:r>
        <w:rPr>
          <w:rFonts w:cstheme="minorHAnsi"/>
          <w:sz w:val="20"/>
          <w:szCs w:val="20"/>
        </w:rPr>
        <w:t xml:space="preserve">indicados </w:t>
      </w:r>
      <w:r w:rsidRPr="005441BB">
        <w:rPr>
          <w:rFonts w:cstheme="minorHAnsi"/>
          <w:sz w:val="20"/>
          <w:szCs w:val="20"/>
        </w:rPr>
        <w:t>por um técnico de saúde</w:t>
      </w:r>
      <w:r>
        <w:rPr>
          <w:rFonts w:cstheme="minorHAnsi"/>
          <w:sz w:val="20"/>
          <w:szCs w:val="20"/>
        </w:rPr>
        <w:t xml:space="preserve"> e </w:t>
      </w:r>
      <w:r w:rsidR="00E17021" w:rsidRPr="005441BB">
        <w:rPr>
          <w:rFonts w:cstheme="minorHAnsi"/>
          <w:sz w:val="20"/>
          <w:szCs w:val="20"/>
        </w:rPr>
        <w:t>contactad</w:t>
      </w:r>
      <w:r w:rsidR="00993391">
        <w:rPr>
          <w:rFonts w:cstheme="minorHAnsi"/>
          <w:sz w:val="20"/>
          <w:szCs w:val="20"/>
        </w:rPr>
        <w:t>os pelo investigador principal, a</w:t>
      </w:r>
      <w:r w:rsidR="00E17021" w:rsidRPr="005441BB">
        <w:rPr>
          <w:rFonts w:cstheme="minorHAnsi"/>
          <w:sz w:val="20"/>
          <w:szCs w:val="20"/>
        </w:rPr>
        <w:t xml:space="preserve">pós </w:t>
      </w:r>
      <w:r w:rsidR="00D4556D">
        <w:rPr>
          <w:rFonts w:cstheme="minorHAnsi"/>
          <w:sz w:val="20"/>
          <w:szCs w:val="20"/>
        </w:rPr>
        <w:t>a consulta</w:t>
      </w:r>
      <w:r w:rsidR="00E17021" w:rsidRPr="005441BB">
        <w:rPr>
          <w:rFonts w:cstheme="minorHAnsi"/>
          <w:sz w:val="20"/>
          <w:szCs w:val="20"/>
        </w:rPr>
        <w:t xml:space="preserve">. </w:t>
      </w:r>
      <w:r w:rsidR="00993391">
        <w:rPr>
          <w:rFonts w:cstheme="minorHAnsi"/>
          <w:sz w:val="20"/>
          <w:szCs w:val="20"/>
        </w:rPr>
        <w:t>Depois de confirmada a correspondência com os critérios de i</w:t>
      </w:r>
      <w:r w:rsidR="00E17021" w:rsidRPr="005441BB">
        <w:rPr>
          <w:rFonts w:cstheme="minorHAnsi"/>
          <w:sz w:val="20"/>
          <w:szCs w:val="20"/>
        </w:rPr>
        <w:t>nclusão</w:t>
      </w:r>
      <w:r w:rsidR="00993391">
        <w:rPr>
          <w:rFonts w:cstheme="minorHAnsi"/>
          <w:sz w:val="20"/>
          <w:szCs w:val="20"/>
        </w:rPr>
        <w:t xml:space="preserve"> definidos</w:t>
      </w:r>
      <w:r w:rsidR="00E17021" w:rsidRPr="005441BB">
        <w:rPr>
          <w:rFonts w:cstheme="minorHAnsi"/>
          <w:sz w:val="20"/>
          <w:szCs w:val="20"/>
        </w:rPr>
        <w:t xml:space="preserve">, </w:t>
      </w:r>
      <w:r w:rsidR="00D4556D">
        <w:rPr>
          <w:rFonts w:cstheme="minorHAnsi"/>
          <w:sz w:val="20"/>
          <w:szCs w:val="20"/>
        </w:rPr>
        <w:t>foram</w:t>
      </w:r>
      <w:r w:rsidR="00E17021" w:rsidRPr="005441BB">
        <w:rPr>
          <w:rFonts w:cstheme="minorHAnsi"/>
          <w:sz w:val="20"/>
          <w:szCs w:val="20"/>
        </w:rPr>
        <w:t xml:space="preserve"> encaminhad</w:t>
      </w:r>
      <w:r w:rsidR="00993391">
        <w:rPr>
          <w:rFonts w:cstheme="minorHAnsi"/>
          <w:sz w:val="20"/>
          <w:szCs w:val="20"/>
        </w:rPr>
        <w:t xml:space="preserve">os para um gabinete </w:t>
      </w:r>
      <w:r w:rsidR="00E17021" w:rsidRPr="005441BB">
        <w:rPr>
          <w:rFonts w:cstheme="minorHAnsi"/>
          <w:sz w:val="20"/>
          <w:szCs w:val="20"/>
        </w:rPr>
        <w:t xml:space="preserve">e informados sobre os objetivos do estudo, o seu grau de confidencialidade e solicitado o seu consentimento para nele participarem. </w:t>
      </w:r>
      <w:r w:rsidR="00993391">
        <w:rPr>
          <w:rFonts w:cstheme="minorHAnsi"/>
          <w:sz w:val="20"/>
          <w:szCs w:val="20"/>
        </w:rPr>
        <w:t>O</w:t>
      </w:r>
      <w:r w:rsidR="00E17021" w:rsidRPr="005441BB">
        <w:rPr>
          <w:rFonts w:cstheme="minorHAnsi"/>
          <w:sz w:val="20"/>
          <w:szCs w:val="20"/>
        </w:rPr>
        <w:t xml:space="preserve"> instrumento de recolha de dados era </w:t>
      </w:r>
      <w:r w:rsidR="00993391">
        <w:rPr>
          <w:rFonts w:cstheme="minorHAnsi"/>
          <w:sz w:val="20"/>
          <w:szCs w:val="20"/>
        </w:rPr>
        <w:t>então preenchido indiv</w:t>
      </w:r>
      <w:r w:rsidR="00E17021" w:rsidRPr="005441BB">
        <w:rPr>
          <w:rFonts w:cstheme="minorHAnsi"/>
          <w:sz w:val="20"/>
          <w:szCs w:val="20"/>
        </w:rPr>
        <w:t xml:space="preserve">idualmente ou, em caso de dificuldades, era aplicado sob a forma de formulário pelo investigador principal. </w:t>
      </w:r>
      <w:r w:rsidR="00E17021" w:rsidRPr="005441BB">
        <w:rPr>
          <w:rFonts w:eastAsia="Calibri" w:cstheme="minorHAnsi"/>
          <w:sz w:val="20"/>
          <w:szCs w:val="20"/>
        </w:rPr>
        <w:t xml:space="preserve">Foram tidos em conta todos os procedimentos descritos na Declaração de Helsínquia, </w:t>
      </w:r>
      <w:r w:rsidR="00993391">
        <w:rPr>
          <w:rFonts w:eastAsia="Calibri" w:cstheme="minorHAnsi"/>
          <w:sz w:val="20"/>
          <w:szCs w:val="20"/>
        </w:rPr>
        <w:t xml:space="preserve">nomeadamente </w:t>
      </w:r>
      <w:r w:rsidR="00E17021" w:rsidRPr="005441BB">
        <w:rPr>
          <w:rFonts w:cstheme="minorHAnsi"/>
          <w:sz w:val="20"/>
          <w:szCs w:val="20"/>
        </w:rPr>
        <w:t>solicita</w:t>
      </w:r>
      <w:r w:rsidR="00993391">
        <w:rPr>
          <w:rFonts w:cstheme="minorHAnsi"/>
          <w:sz w:val="20"/>
          <w:szCs w:val="20"/>
        </w:rPr>
        <w:t>ndo</w:t>
      </w:r>
      <w:r w:rsidR="00E17021" w:rsidRPr="005441BB">
        <w:rPr>
          <w:rFonts w:cstheme="minorHAnsi"/>
          <w:sz w:val="20"/>
          <w:szCs w:val="20"/>
        </w:rPr>
        <w:t xml:space="preserve"> a dev</w:t>
      </w:r>
      <w:r w:rsidR="00E74B59">
        <w:rPr>
          <w:rFonts w:cstheme="minorHAnsi"/>
          <w:sz w:val="20"/>
          <w:szCs w:val="20"/>
        </w:rPr>
        <w:t>ida autorização à autora do QLI, às</w:t>
      </w:r>
      <w:r w:rsidR="00E17021" w:rsidRPr="005441BB">
        <w:rPr>
          <w:rFonts w:eastAsia="Calibri" w:cstheme="minorHAnsi"/>
          <w:sz w:val="20"/>
          <w:szCs w:val="20"/>
        </w:rPr>
        <w:t xml:space="preserve"> instituições de saúde</w:t>
      </w:r>
      <w:r w:rsidR="00121D98">
        <w:rPr>
          <w:rFonts w:eastAsia="Calibri" w:cstheme="minorHAnsi"/>
          <w:sz w:val="20"/>
          <w:szCs w:val="20"/>
        </w:rPr>
        <w:t xml:space="preserve"> respetivas</w:t>
      </w:r>
      <w:r w:rsidR="00E17021" w:rsidRPr="005441BB">
        <w:rPr>
          <w:rFonts w:eastAsia="Calibri" w:cstheme="minorHAnsi"/>
          <w:sz w:val="20"/>
          <w:szCs w:val="20"/>
        </w:rPr>
        <w:t xml:space="preserve"> e </w:t>
      </w:r>
      <w:r w:rsidR="00993391">
        <w:rPr>
          <w:rFonts w:eastAsia="Calibri" w:cstheme="minorHAnsi"/>
          <w:sz w:val="20"/>
          <w:szCs w:val="20"/>
        </w:rPr>
        <w:t>a</w:t>
      </w:r>
      <w:r w:rsidR="00E17021" w:rsidRPr="005441BB">
        <w:rPr>
          <w:rFonts w:eastAsia="Calibri" w:cstheme="minorHAnsi"/>
          <w:sz w:val="20"/>
          <w:szCs w:val="20"/>
        </w:rPr>
        <w:t>os di</w:t>
      </w:r>
      <w:r w:rsidR="00993391">
        <w:rPr>
          <w:rFonts w:eastAsia="Calibri" w:cstheme="minorHAnsi"/>
          <w:sz w:val="20"/>
          <w:szCs w:val="20"/>
        </w:rPr>
        <w:t>retores de cada um dos serviços</w:t>
      </w:r>
      <w:r w:rsidR="00E17021" w:rsidRPr="005441BB">
        <w:rPr>
          <w:rFonts w:eastAsia="Calibri" w:cstheme="minorHAnsi"/>
          <w:sz w:val="20"/>
          <w:szCs w:val="20"/>
        </w:rPr>
        <w:t>.</w:t>
      </w:r>
    </w:p>
    <w:p w:rsidR="00121D98" w:rsidRPr="00121D98" w:rsidRDefault="00121D98" w:rsidP="00121D98">
      <w:pPr>
        <w:spacing w:after="0" w:line="360" w:lineRule="auto"/>
        <w:ind w:left="426"/>
        <w:rPr>
          <w:rFonts w:eastAsia="Calibri" w:cstheme="minorHAnsi"/>
          <w:sz w:val="20"/>
          <w:szCs w:val="20"/>
        </w:rPr>
      </w:pPr>
      <w:r w:rsidRPr="00121D98">
        <w:rPr>
          <w:rFonts w:eastAsia="Calibri" w:cstheme="minorHAnsi"/>
          <w:sz w:val="20"/>
          <w:szCs w:val="20"/>
        </w:rPr>
        <w:t>Com vista à análise dos dados foi criada uma base de dado</w:t>
      </w:r>
      <w:r w:rsidR="00993391">
        <w:rPr>
          <w:rFonts w:eastAsia="Calibri" w:cstheme="minorHAnsi"/>
          <w:sz w:val="20"/>
          <w:szCs w:val="20"/>
        </w:rPr>
        <w:t xml:space="preserve">s no programa estatístico SPSS, </w:t>
      </w:r>
      <w:r w:rsidRPr="00121D98">
        <w:rPr>
          <w:rFonts w:eastAsia="Calibri" w:cstheme="minorHAnsi"/>
          <w:sz w:val="20"/>
          <w:szCs w:val="20"/>
        </w:rPr>
        <w:t xml:space="preserve">versão 22, e </w:t>
      </w:r>
      <w:r>
        <w:rPr>
          <w:rFonts w:eastAsia="Calibri" w:cstheme="minorHAnsi"/>
          <w:sz w:val="20"/>
          <w:szCs w:val="20"/>
        </w:rPr>
        <w:t>realizada uma análise descritiva e inferencial</w:t>
      </w:r>
      <w:r w:rsidR="00CA2EFC">
        <w:rPr>
          <w:rFonts w:eastAsia="Calibri" w:cstheme="minorHAnsi"/>
          <w:sz w:val="20"/>
          <w:szCs w:val="20"/>
        </w:rPr>
        <w:t>, considerando a significância mínima de p&lt;0,05</w:t>
      </w:r>
      <w:r>
        <w:rPr>
          <w:rFonts w:eastAsia="Calibri" w:cstheme="minorHAnsi"/>
          <w:sz w:val="20"/>
          <w:szCs w:val="20"/>
        </w:rPr>
        <w:t xml:space="preserve">. </w:t>
      </w:r>
      <w:r w:rsidR="00993391">
        <w:rPr>
          <w:rFonts w:eastAsia="Calibri" w:cstheme="minorHAnsi"/>
          <w:sz w:val="20"/>
          <w:szCs w:val="20"/>
        </w:rPr>
        <w:t>Apesar de não ter sido confirmada a</w:t>
      </w:r>
      <w:r w:rsidRPr="00121D98">
        <w:rPr>
          <w:rFonts w:eastAsia="Calibri" w:cstheme="minorHAnsi"/>
          <w:sz w:val="20"/>
          <w:szCs w:val="20"/>
        </w:rPr>
        <w:t xml:space="preserve"> normalidade da distribuição dos dados</w:t>
      </w:r>
      <w:r w:rsidR="00993391">
        <w:rPr>
          <w:rFonts w:eastAsia="Calibri" w:cstheme="minorHAnsi"/>
          <w:sz w:val="20"/>
          <w:szCs w:val="20"/>
        </w:rPr>
        <w:t xml:space="preserve"> (</w:t>
      </w:r>
      <w:r>
        <w:rPr>
          <w:rFonts w:eastAsia="Calibri" w:cstheme="minorHAnsi"/>
          <w:sz w:val="20"/>
          <w:szCs w:val="20"/>
        </w:rPr>
        <w:t>teste</w:t>
      </w:r>
      <w:r w:rsidRPr="00121D98">
        <w:rPr>
          <w:rFonts w:eastAsia="Calibri" w:cstheme="minorHAnsi"/>
          <w:sz w:val="20"/>
          <w:szCs w:val="20"/>
        </w:rPr>
        <w:t xml:space="preserve"> </w:t>
      </w:r>
      <w:proofErr w:type="spellStart"/>
      <w:r w:rsidRPr="00121D98">
        <w:rPr>
          <w:rFonts w:eastAsia="Calibri" w:cstheme="minorHAnsi"/>
          <w:sz w:val="20"/>
          <w:szCs w:val="20"/>
        </w:rPr>
        <w:t>Kolmogorov-Smirnov</w:t>
      </w:r>
      <w:proofErr w:type="spellEnd"/>
      <w:r w:rsidR="00993391">
        <w:rPr>
          <w:rFonts w:eastAsia="Calibri" w:cstheme="minorHAnsi"/>
          <w:sz w:val="20"/>
          <w:szCs w:val="20"/>
        </w:rPr>
        <w:t xml:space="preserve">) em todas as variáveis, decidimos pela utilização da </w:t>
      </w:r>
      <w:r w:rsidRPr="00121D98">
        <w:rPr>
          <w:rFonts w:eastAsia="Calibri" w:cstheme="minorHAnsi"/>
          <w:sz w:val="20"/>
          <w:szCs w:val="20"/>
        </w:rPr>
        <w:t xml:space="preserve">estatística paramétrica </w:t>
      </w:r>
      <w:r w:rsidR="00993391">
        <w:rPr>
          <w:rFonts w:eastAsia="Calibri" w:cstheme="minorHAnsi"/>
          <w:sz w:val="20"/>
          <w:szCs w:val="20"/>
        </w:rPr>
        <w:t xml:space="preserve">sempre que o </w:t>
      </w:r>
      <w:r>
        <w:rPr>
          <w:rFonts w:eastAsia="Calibri" w:cstheme="minorHAnsi"/>
          <w:sz w:val="20"/>
          <w:szCs w:val="20"/>
        </w:rPr>
        <w:t xml:space="preserve">n&gt;30. </w:t>
      </w:r>
    </w:p>
    <w:p w:rsidR="00E17021" w:rsidRPr="005441BB" w:rsidRDefault="00E17021" w:rsidP="005441BB">
      <w:pPr>
        <w:pStyle w:val="PargrafodaLista"/>
        <w:spacing w:after="0" w:line="360" w:lineRule="auto"/>
        <w:ind w:left="851"/>
        <w:rPr>
          <w:rFonts w:eastAsia="Times New Roman" w:cstheme="minorHAnsi"/>
          <w:b/>
          <w:iCs/>
          <w:spacing w:val="15"/>
          <w:sz w:val="20"/>
          <w:szCs w:val="20"/>
        </w:rPr>
      </w:pPr>
    </w:p>
    <w:p w:rsidR="00E85BDC" w:rsidRPr="005441BB" w:rsidRDefault="00905025" w:rsidP="00EF4154">
      <w:pPr>
        <w:pStyle w:val="PargrafodaLista"/>
        <w:numPr>
          <w:ilvl w:val="0"/>
          <w:numId w:val="5"/>
        </w:numPr>
        <w:spacing w:after="0" w:line="360" w:lineRule="auto"/>
        <w:ind w:firstLine="66"/>
        <w:rPr>
          <w:rFonts w:eastAsia="Times New Roman" w:cstheme="minorHAnsi"/>
          <w:b/>
          <w:spacing w:val="5"/>
          <w:kern w:val="28"/>
          <w:sz w:val="20"/>
          <w:szCs w:val="20"/>
          <w:lang w:val="en-US"/>
        </w:rPr>
      </w:pPr>
      <w:r w:rsidRPr="005441BB">
        <w:rPr>
          <w:rFonts w:eastAsia="Times New Roman" w:cstheme="minorHAnsi"/>
          <w:b/>
          <w:spacing w:val="5"/>
          <w:kern w:val="28"/>
          <w:sz w:val="20"/>
          <w:szCs w:val="20"/>
          <w:lang w:val="en-US"/>
        </w:rPr>
        <w:t>RESULTADOS</w:t>
      </w:r>
    </w:p>
    <w:p w:rsidR="00E17021" w:rsidRPr="005441BB" w:rsidRDefault="00993391" w:rsidP="005441BB">
      <w:pPr>
        <w:autoSpaceDE w:val="0"/>
        <w:autoSpaceDN w:val="0"/>
        <w:adjustRightInd w:val="0"/>
        <w:spacing w:after="0" w:line="360" w:lineRule="auto"/>
        <w:ind w:left="360"/>
        <w:rPr>
          <w:rFonts w:cstheme="minorHAnsi"/>
          <w:sz w:val="20"/>
          <w:szCs w:val="20"/>
        </w:rPr>
      </w:pPr>
      <w:r>
        <w:rPr>
          <w:rFonts w:cstheme="minorHAnsi"/>
          <w:sz w:val="20"/>
          <w:szCs w:val="20"/>
        </w:rPr>
        <w:t>No sentido de respondermos ao objetivo 1, r</w:t>
      </w:r>
      <w:r w:rsidR="00E17021" w:rsidRPr="005441BB">
        <w:rPr>
          <w:rFonts w:cstheme="minorHAnsi"/>
          <w:sz w:val="20"/>
          <w:szCs w:val="20"/>
        </w:rPr>
        <w:t xml:space="preserve">ealizámos a análise descritiva da perceção de QV </w:t>
      </w:r>
      <w:r>
        <w:rPr>
          <w:rFonts w:cstheme="minorHAnsi"/>
          <w:sz w:val="20"/>
          <w:szCs w:val="20"/>
        </w:rPr>
        <w:t>da amostra</w:t>
      </w:r>
      <w:r w:rsidR="00E17021" w:rsidRPr="005441BB">
        <w:rPr>
          <w:rFonts w:cstheme="minorHAnsi"/>
          <w:sz w:val="20"/>
          <w:szCs w:val="20"/>
        </w:rPr>
        <w:t xml:space="preserve">, avaliada através do </w:t>
      </w:r>
      <w:r w:rsidR="00E17021" w:rsidRPr="00590907">
        <w:rPr>
          <w:rFonts w:cstheme="minorHAnsi"/>
          <w:sz w:val="20"/>
          <w:szCs w:val="20"/>
        </w:rPr>
        <w:t xml:space="preserve">QLI </w:t>
      </w:r>
      <w:r w:rsidR="00E17021" w:rsidRPr="005441BB">
        <w:rPr>
          <w:rFonts w:cstheme="minorHAnsi"/>
          <w:sz w:val="20"/>
          <w:szCs w:val="20"/>
        </w:rPr>
        <w:t xml:space="preserve">em cada uma das suas </w:t>
      </w:r>
      <w:proofErr w:type="spellStart"/>
      <w:r w:rsidR="00E17021" w:rsidRPr="005441BB">
        <w:rPr>
          <w:rFonts w:cstheme="minorHAnsi"/>
          <w:sz w:val="20"/>
          <w:szCs w:val="20"/>
        </w:rPr>
        <w:t>subscalas</w:t>
      </w:r>
      <w:proofErr w:type="spellEnd"/>
      <w:r w:rsidR="00E17021" w:rsidRPr="005441BB">
        <w:rPr>
          <w:rFonts w:cstheme="minorHAnsi"/>
          <w:sz w:val="20"/>
          <w:szCs w:val="20"/>
        </w:rPr>
        <w:t xml:space="preserve"> e na escala global, </w:t>
      </w:r>
      <w:r w:rsidR="00E17021" w:rsidRPr="005441BB">
        <w:rPr>
          <w:rFonts w:eastAsia="Calibri" w:cstheme="minorHAnsi"/>
          <w:sz w:val="20"/>
          <w:szCs w:val="20"/>
        </w:rPr>
        <w:t>obtendo</w:t>
      </w:r>
      <w:r w:rsidR="00E17021" w:rsidRPr="005441BB">
        <w:rPr>
          <w:rFonts w:cstheme="minorHAnsi"/>
          <w:sz w:val="20"/>
          <w:szCs w:val="20"/>
        </w:rPr>
        <w:t>-se os resultados que se apresentam no Gráfico 1.</w:t>
      </w:r>
    </w:p>
    <w:p w:rsidR="00E17021" w:rsidRPr="005441BB" w:rsidRDefault="00E17021" w:rsidP="005441BB">
      <w:pPr>
        <w:spacing w:after="0" w:line="360" w:lineRule="auto"/>
        <w:ind w:left="360"/>
        <w:rPr>
          <w:rFonts w:cstheme="minorHAnsi"/>
          <w:iCs/>
          <w:sz w:val="20"/>
          <w:szCs w:val="20"/>
        </w:rPr>
      </w:pPr>
    </w:p>
    <w:p w:rsidR="00E17021" w:rsidRPr="005441BB" w:rsidRDefault="00E17021" w:rsidP="00D4556D">
      <w:pPr>
        <w:autoSpaceDE w:val="0"/>
        <w:autoSpaceDN w:val="0"/>
        <w:adjustRightInd w:val="0"/>
        <w:spacing w:after="0" w:line="360" w:lineRule="auto"/>
        <w:ind w:left="360"/>
        <w:jc w:val="center"/>
        <w:rPr>
          <w:rFonts w:cstheme="minorHAnsi"/>
          <w:b/>
          <w:bCs/>
          <w:sz w:val="20"/>
          <w:szCs w:val="20"/>
        </w:rPr>
      </w:pPr>
      <w:r w:rsidRPr="005441BB">
        <w:rPr>
          <w:rFonts w:cstheme="minorHAnsi"/>
          <w:noProof/>
          <w:sz w:val="20"/>
          <w:szCs w:val="20"/>
          <w:lang w:eastAsia="pt-PT"/>
        </w:rPr>
        <w:drawing>
          <wp:inline distT="0" distB="0" distL="0" distR="0" wp14:anchorId="34FA7E82" wp14:editId="08D41EE4">
            <wp:extent cx="4346575" cy="2348179"/>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59184" cy="2354991"/>
                    </a:xfrm>
                    <a:prstGeom prst="rect">
                      <a:avLst/>
                    </a:prstGeom>
                    <a:noFill/>
                  </pic:spPr>
                </pic:pic>
              </a:graphicData>
            </a:graphic>
          </wp:inline>
        </w:drawing>
      </w:r>
    </w:p>
    <w:p w:rsidR="00E17021" w:rsidRPr="007C1237" w:rsidRDefault="00E17021" w:rsidP="00D4556D">
      <w:pPr>
        <w:spacing w:after="0" w:line="360" w:lineRule="auto"/>
        <w:ind w:left="360" w:right="423"/>
        <w:jc w:val="center"/>
        <w:rPr>
          <w:rFonts w:cstheme="minorHAnsi"/>
          <w:sz w:val="16"/>
          <w:szCs w:val="16"/>
        </w:rPr>
      </w:pPr>
      <w:r w:rsidRPr="007C1237">
        <w:rPr>
          <w:rFonts w:cstheme="minorHAnsi"/>
          <w:i/>
          <w:iCs/>
          <w:sz w:val="16"/>
          <w:szCs w:val="16"/>
        </w:rPr>
        <w:t>Gráfico</w:t>
      </w:r>
      <w:r w:rsidRPr="007C1237">
        <w:rPr>
          <w:rFonts w:cstheme="minorHAnsi"/>
          <w:i/>
          <w:sz w:val="16"/>
          <w:szCs w:val="16"/>
        </w:rPr>
        <w:t xml:space="preserve"> 1.</w:t>
      </w:r>
      <w:r w:rsidRPr="007C1237">
        <w:rPr>
          <w:rFonts w:cstheme="minorHAnsi"/>
          <w:sz w:val="16"/>
          <w:szCs w:val="16"/>
        </w:rPr>
        <w:t xml:space="preserve"> Média </w:t>
      </w:r>
      <w:r w:rsidR="00993391">
        <w:rPr>
          <w:rFonts w:cstheme="minorHAnsi"/>
          <w:sz w:val="16"/>
          <w:szCs w:val="16"/>
        </w:rPr>
        <w:t xml:space="preserve">do score </w:t>
      </w:r>
      <w:r w:rsidRPr="007C1237">
        <w:rPr>
          <w:rFonts w:cstheme="minorHAnsi"/>
          <w:sz w:val="16"/>
          <w:szCs w:val="16"/>
        </w:rPr>
        <w:t xml:space="preserve">da perceção de QV nas diferentes </w:t>
      </w:r>
      <w:proofErr w:type="spellStart"/>
      <w:r w:rsidRPr="007C1237">
        <w:rPr>
          <w:rFonts w:cstheme="minorHAnsi"/>
          <w:sz w:val="16"/>
          <w:szCs w:val="16"/>
        </w:rPr>
        <w:t>subscalas</w:t>
      </w:r>
      <w:proofErr w:type="spellEnd"/>
      <w:r w:rsidRPr="007C1237">
        <w:rPr>
          <w:rFonts w:cstheme="minorHAnsi"/>
          <w:sz w:val="16"/>
          <w:szCs w:val="16"/>
        </w:rPr>
        <w:t xml:space="preserve"> e escala global das pessoas com dependência de drogas</w:t>
      </w:r>
    </w:p>
    <w:p w:rsidR="00E17021" w:rsidRPr="007C1237" w:rsidRDefault="00E17021" w:rsidP="00D4556D">
      <w:pPr>
        <w:autoSpaceDE w:val="0"/>
        <w:autoSpaceDN w:val="0"/>
        <w:adjustRightInd w:val="0"/>
        <w:spacing w:after="0" w:line="360" w:lineRule="auto"/>
        <w:ind w:left="360"/>
        <w:jc w:val="center"/>
        <w:rPr>
          <w:rFonts w:cstheme="minorHAnsi"/>
          <w:bCs/>
          <w:sz w:val="16"/>
          <w:szCs w:val="16"/>
        </w:rPr>
      </w:pPr>
      <w:r w:rsidRPr="007C1237">
        <w:rPr>
          <w:rFonts w:cstheme="minorHAnsi"/>
          <w:bCs/>
          <w:sz w:val="16"/>
          <w:szCs w:val="16"/>
        </w:rPr>
        <w:t xml:space="preserve">Legenda: SF-Saúde e Funcionalidade; SE-Social e Económica; PE-Psicológica e Espiritual; F-Familiar; </w:t>
      </w:r>
      <w:proofErr w:type="spellStart"/>
      <w:r w:rsidRPr="007C1237">
        <w:rPr>
          <w:rFonts w:cstheme="minorHAnsi"/>
          <w:bCs/>
          <w:sz w:val="16"/>
          <w:szCs w:val="16"/>
        </w:rPr>
        <w:t>Subs</w:t>
      </w:r>
      <w:proofErr w:type="spellEnd"/>
      <w:r w:rsidRPr="007C1237">
        <w:rPr>
          <w:rFonts w:cstheme="minorHAnsi"/>
          <w:bCs/>
          <w:sz w:val="16"/>
          <w:szCs w:val="16"/>
        </w:rPr>
        <w:t xml:space="preserve">. – </w:t>
      </w:r>
      <w:proofErr w:type="spellStart"/>
      <w:proofErr w:type="gramStart"/>
      <w:r w:rsidRPr="007C1237">
        <w:rPr>
          <w:rFonts w:cstheme="minorHAnsi"/>
          <w:bCs/>
          <w:sz w:val="16"/>
          <w:szCs w:val="16"/>
        </w:rPr>
        <w:t>subscalas</w:t>
      </w:r>
      <w:proofErr w:type="spellEnd"/>
      <w:proofErr w:type="gramEnd"/>
      <w:r w:rsidRPr="007C1237">
        <w:rPr>
          <w:rFonts w:cstheme="minorHAnsi"/>
          <w:bCs/>
          <w:sz w:val="16"/>
          <w:szCs w:val="16"/>
        </w:rPr>
        <w:t xml:space="preserve"> QLI</w:t>
      </w:r>
    </w:p>
    <w:p w:rsidR="00E17021" w:rsidRPr="005441BB" w:rsidRDefault="00E17021" w:rsidP="005441BB">
      <w:pPr>
        <w:autoSpaceDE w:val="0"/>
        <w:autoSpaceDN w:val="0"/>
        <w:adjustRightInd w:val="0"/>
        <w:spacing w:after="0" w:line="360" w:lineRule="auto"/>
        <w:ind w:left="360"/>
        <w:rPr>
          <w:rFonts w:cstheme="minorHAnsi"/>
          <w:bCs/>
          <w:sz w:val="20"/>
          <w:szCs w:val="20"/>
        </w:rPr>
      </w:pPr>
    </w:p>
    <w:p w:rsidR="00E17021" w:rsidRPr="005441BB" w:rsidRDefault="00E17021" w:rsidP="005441BB">
      <w:pPr>
        <w:spacing w:after="0" w:line="360" w:lineRule="auto"/>
        <w:ind w:left="360"/>
        <w:rPr>
          <w:rFonts w:cstheme="minorHAnsi"/>
          <w:sz w:val="20"/>
          <w:szCs w:val="20"/>
        </w:rPr>
      </w:pPr>
      <w:r w:rsidRPr="005441BB">
        <w:rPr>
          <w:rFonts w:cstheme="minorHAnsi"/>
          <w:sz w:val="20"/>
          <w:szCs w:val="20"/>
        </w:rPr>
        <w:t xml:space="preserve">A análise do gráfico anterior permite-nos concluir que os participantes da amostra avaliam a sua QV como francamente positiva, quer globalmente, quer em cada uma das componentes avaliadas. O valor médio mais elevado situa-se na </w:t>
      </w:r>
      <w:proofErr w:type="spellStart"/>
      <w:r w:rsidRPr="005441BB">
        <w:rPr>
          <w:rFonts w:cstheme="minorHAnsi"/>
          <w:sz w:val="20"/>
          <w:szCs w:val="20"/>
        </w:rPr>
        <w:t>subscala</w:t>
      </w:r>
      <w:proofErr w:type="spellEnd"/>
      <w:r w:rsidRPr="005441BB">
        <w:rPr>
          <w:rFonts w:cstheme="minorHAnsi"/>
          <w:sz w:val="20"/>
          <w:szCs w:val="20"/>
        </w:rPr>
        <w:t xml:space="preserve"> </w:t>
      </w:r>
      <w:r w:rsidR="0002273B">
        <w:rPr>
          <w:rFonts w:cstheme="minorHAnsi"/>
          <w:sz w:val="20"/>
          <w:szCs w:val="20"/>
        </w:rPr>
        <w:t>“Fami</w:t>
      </w:r>
      <w:r w:rsidRPr="005441BB">
        <w:rPr>
          <w:rFonts w:cstheme="minorHAnsi"/>
          <w:sz w:val="20"/>
          <w:szCs w:val="20"/>
        </w:rPr>
        <w:t>lia</w:t>
      </w:r>
      <w:r w:rsidR="0002273B">
        <w:rPr>
          <w:rFonts w:cstheme="minorHAnsi"/>
          <w:sz w:val="20"/>
          <w:szCs w:val="20"/>
        </w:rPr>
        <w:t>r”</w:t>
      </w:r>
      <w:r w:rsidR="00EB6142">
        <w:rPr>
          <w:rFonts w:cstheme="minorHAnsi"/>
          <w:sz w:val="20"/>
          <w:szCs w:val="20"/>
        </w:rPr>
        <w:t xml:space="preserve"> (</w:t>
      </w:r>
      <w:r w:rsidR="00EB6142" w:rsidRPr="00EB6142">
        <w:rPr>
          <w:rFonts w:cstheme="minorHAnsi"/>
          <w:i/>
          <w:sz w:val="20"/>
          <w:szCs w:val="20"/>
        </w:rPr>
        <w:t>M</w:t>
      </w:r>
      <w:r w:rsidRPr="00EB6142">
        <w:rPr>
          <w:rFonts w:cstheme="minorHAnsi"/>
          <w:i/>
          <w:sz w:val="20"/>
          <w:szCs w:val="20"/>
        </w:rPr>
        <w:t xml:space="preserve">=24,3; </w:t>
      </w:r>
      <w:proofErr w:type="spellStart"/>
      <w:r w:rsidRPr="00EB6142">
        <w:rPr>
          <w:rFonts w:cstheme="minorHAnsi"/>
          <w:i/>
          <w:sz w:val="20"/>
          <w:szCs w:val="20"/>
        </w:rPr>
        <w:t>dp</w:t>
      </w:r>
      <w:proofErr w:type="spellEnd"/>
      <w:r w:rsidRPr="00EB6142">
        <w:rPr>
          <w:rFonts w:cstheme="minorHAnsi"/>
          <w:i/>
          <w:sz w:val="20"/>
          <w:szCs w:val="20"/>
        </w:rPr>
        <w:t>=4,49</w:t>
      </w:r>
      <w:r w:rsidRPr="005441BB">
        <w:rPr>
          <w:rFonts w:cstheme="minorHAnsi"/>
          <w:sz w:val="20"/>
          <w:szCs w:val="20"/>
        </w:rPr>
        <w:t xml:space="preserve">) e o valor inferior na </w:t>
      </w:r>
      <w:proofErr w:type="spellStart"/>
      <w:r w:rsidRPr="005441BB">
        <w:rPr>
          <w:rFonts w:cstheme="minorHAnsi"/>
          <w:sz w:val="20"/>
          <w:szCs w:val="20"/>
        </w:rPr>
        <w:t>subscala</w:t>
      </w:r>
      <w:proofErr w:type="spellEnd"/>
      <w:r w:rsidRPr="005441BB">
        <w:rPr>
          <w:rFonts w:cstheme="minorHAnsi"/>
          <w:sz w:val="20"/>
          <w:szCs w:val="20"/>
        </w:rPr>
        <w:t xml:space="preserve"> </w:t>
      </w:r>
      <w:r w:rsidR="0002273B">
        <w:rPr>
          <w:rFonts w:cstheme="minorHAnsi"/>
          <w:sz w:val="20"/>
          <w:szCs w:val="20"/>
        </w:rPr>
        <w:t>“S</w:t>
      </w:r>
      <w:r w:rsidRPr="005441BB">
        <w:rPr>
          <w:rFonts w:cstheme="minorHAnsi"/>
          <w:sz w:val="20"/>
          <w:szCs w:val="20"/>
        </w:rPr>
        <w:t xml:space="preserve">ocial e </w:t>
      </w:r>
      <w:r w:rsidR="0002273B">
        <w:rPr>
          <w:rFonts w:cstheme="minorHAnsi"/>
          <w:sz w:val="20"/>
          <w:szCs w:val="20"/>
        </w:rPr>
        <w:t>E</w:t>
      </w:r>
      <w:r w:rsidRPr="005441BB">
        <w:rPr>
          <w:rFonts w:cstheme="minorHAnsi"/>
          <w:sz w:val="20"/>
          <w:szCs w:val="20"/>
        </w:rPr>
        <w:t>conómica</w:t>
      </w:r>
      <w:r w:rsidR="0002273B">
        <w:rPr>
          <w:rFonts w:cstheme="minorHAnsi"/>
          <w:sz w:val="20"/>
          <w:szCs w:val="20"/>
        </w:rPr>
        <w:t>”</w:t>
      </w:r>
      <w:r w:rsidR="00EB6142">
        <w:rPr>
          <w:rFonts w:cstheme="minorHAnsi"/>
          <w:sz w:val="20"/>
          <w:szCs w:val="20"/>
        </w:rPr>
        <w:t xml:space="preserve"> (</w:t>
      </w:r>
      <w:r w:rsidR="00EB6142" w:rsidRPr="00EB6142">
        <w:rPr>
          <w:rFonts w:cstheme="minorHAnsi"/>
          <w:i/>
          <w:sz w:val="20"/>
          <w:szCs w:val="20"/>
        </w:rPr>
        <w:t>M</w:t>
      </w:r>
      <w:r w:rsidRPr="00EB6142">
        <w:rPr>
          <w:rFonts w:cstheme="minorHAnsi"/>
          <w:i/>
          <w:sz w:val="20"/>
          <w:szCs w:val="20"/>
        </w:rPr>
        <w:t xml:space="preserve">=18,3; </w:t>
      </w:r>
      <w:proofErr w:type="spellStart"/>
      <w:r w:rsidRPr="00EB6142">
        <w:rPr>
          <w:rFonts w:cstheme="minorHAnsi"/>
          <w:i/>
          <w:sz w:val="20"/>
          <w:szCs w:val="20"/>
        </w:rPr>
        <w:t>dp</w:t>
      </w:r>
      <w:proofErr w:type="spellEnd"/>
      <w:r w:rsidRPr="00EB6142">
        <w:rPr>
          <w:rFonts w:cstheme="minorHAnsi"/>
          <w:i/>
          <w:sz w:val="20"/>
          <w:szCs w:val="20"/>
        </w:rPr>
        <w:t>=4,37</w:t>
      </w:r>
      <w:r w:rsidRPr="005441BB">
        <w:rPr>
          <w:rFonts w:cstheme="minorHAnsi"/>
          <w:sz w:val="20"/>
          <w:szCs w:val="20"/>
        </w:rPr>
        <w:t xml:space="preserve">). </w:t>
      </w:r>
    </w:p>
    <w:p w:rsidR="00121D98" w:rsidRDefault="00121D98" w:rsidP="005441BB">
      <w:pPr>
        <w:autoSpaceDE w:val="0"/>
        <w:autoSpaceDN w:val="0"/>
        <w:adjustRightInd w:val="0"/>
        <w:spacing w:after="0" w:line="360" w:lineRule="auto"/>
        <w:ind w:left="360"/>
        <w:rPr>
          <w:rFonts w:cstheme="minorHAnsi"/>
          <w:sz w:val="20"/>
          <w:szCs w:val="20"/>
        </w:rPr>
      </w:pPr>
    </w:p>
    <w:p w:rsidR="00E17021" w:rsidRPr="005441BB" w:rsidRDefault="00993391" w:rsidP="005441BB">
      <w:pPr>
        <w:autoSpaceDE w:val="0"/>
        <w:autoSpaceDN w:val="0"/>
        <w:adjustRightInd w:val="0"/>
        <w:spacing w:after="0" w:line="360" w:lineRule="auto"/>
        <w:ind w:left="360"/>
        <w:rPr>
          <w:rFonts w:cstheme="minorHAnsi"/>
          <w:sz w:val="20"/>
          <w:szCs w:val="20"/>
        </w:rPr>
      </w:pPr>
      <w:r>
        <w:rPr>
          <w:rFonts w:cstheme="minorHAnsi"/>
          <w:sz w:val="20"/>
          <w:szCs w:val="20"/>
        </w:rPr>
        <w:t xml:space="preserve">Para responder ao objetivo 2, </w:t>
      </w:r>
      <w:r w:rsidR="003F47C8">
        <w:rPr>
          <w:rFonts w:cstheme="minorHAnsi"/>
          <w:sz w:val="20"/>
          <w:szCs w:val="20"/>
        </w:rPr>
        <w:t>e compara</w:t>
      </w:r>
      <w:r w:rsidR="00E17021" w:rsidRPr="005441BB">
        <w:rPr>
          <w:rFonts w:cstheme="minorHAnsi"/>
          <w:sz w:val="20"/>
          <w:szCs w:val="20"/>
        </w:rPr>
        <w:t>mos a perceção de QV dos indivíduos com dependências de drogas lícitas e os dependentes de drogas ilícitas,</w:t>
      </w:r>
      <w:r w:rsidR="00E17021" w:rsidRPr="005441BB">
        <w:rPr>
          <w:rFonts w:cstheme="minorHAnsi"/>
          <w:b/>
          <w:sz w:val="20"/>
          <w:szCs w:val="20"/>
        </w:rPr>
        <w:t xml:space="preserve"> </w:t>
      </w:r>
      <w:r w:rsidR="00E17021" w:rsidRPr="005441BB">
        <w:rPr>
          <w:rFonts w:cstheme="minorHAnsi"/>
          <w:sz w:val="20"/>
          <w:szCs w:val="20"/>
        </w:rPr>
        <w:t>recodificamos a variável “</w:t>
      </w:r>
      <w:r w:rsidR="00E17021" w:rsidRPr="005441BB">
        <w:rPr>
          <w:rFonts w:cstheme="minorHAnsi"/>
          <w:i/>
          <w:sz w:val="20"/>
          <w:szCs w:val="20"/>
        </w:rPr>
        <w:t>Drogas que consumiu anteriormente ao tratamento</w:t>
      </w:r>
      <w:r w:rsidR="00E17021" w:rsidRPr="005441BB">
        <w:rPr>
          <w:rFonts w:cstheme="minorHAnsi"/>
          <w:sz w:val="20"/>
          <w:szCs w:val="20"/>
        </w:rPr>
        <w:t xml:space="preserve">” numa variável com três categorias: 1. Dependência de álcool; </w:t>
      </w:r>
      <w:r w:rsidR="00D4556D">
        <w:rPr>
          <w:rFonts w:cstheme="minorHAnsi"/>
          <w:sz w:val="20"/>
          <w:szCs w:val="20"/>
        </w:rPr>
        <w:t xml:space="preserve">2. Dependência de outras drogas; </w:t>
      </w:r>
      <w:r w:rsidR="00E17021" w:rsidRPr="005441BB">
        <w:rPr>
          <w:rFonts w:cstheme="minorHAnsi"/>
          <w:sz w:val="20"/>
          <w:szCs w:val="20"/>
        </w:rPr>
        <w:t>e 3. Depend</w:t>
      </w:r>
      <w:r w:rsidR="00D4556D">
        <w:rPr>
          <w:rFonts w:cstheme="minorHAnsi"/>
          <w:sz w:val="20"/>
          <w:szCs w:val="20"/>
        </w:rPr>
        <w:t xml:space="preserve">ência de álcool </w:t>
      </w:r>
      <w:proofErr w:type="gramStart"/>
      <w:r w:rsidR="00D4556D">
        <w:rPr>
          <w:rFonts w:cstheme="minorHAnsi"/>
          <w:sz w:val="20"/>
          <w:szCs w:val="20"/>
        </w:rPr>
        <w:t>+</w:t>
      </w:r>
      <w:proofErr w:type="gramEnd"/>
      <w:r w:rsidR="00D4556D">
        <w:rPr>
          <w:rFonts w:cstheme="minorHAnsi"/>
          <w:sz w:val="20"/>
          <w:szCs w:val="20"/>
        </w:rPr>
        <w:t xml:space="preserve"> outras drogas.</w:t>
      </w:r>
    </w:p>
    <w:p w:rsidR="005D6CB4" w:rsidRDefault="00E17021" w:rsidP="005441BB">
      <w:pPr>
        <w:autoSpaceDE w:val="0"/>
        <w:autoSpaceDN w:val="0"/>
        <w:adjustRightInd w:val="0"/>
        <w:spacing w:after="0" w:line="360" w:lineRule="auto"/>
        <w:ind w:left="360"/>
        <w:rPr>
          <w:rFonts w:cstheme="minorHAnsi"/>
          <w:sz w:val="20"/>
          <w:szCs w:val="20"/>
        </w:rPr>
      </w:pPr>
      <w:r w:rsidRPr="005441BB">
        <w:rPr>
          <w:rFonts w:cstheme="minorHAnsi"/>
          <w:sz w:val="20"/>
          <w:szCs w:val="20"/>
        </w:rPr>
        <w:t xml:space="preserve">Através do teste </w:t>
      </w:r>
      <w:r w:rsidRPr="005441BB">
        <w:rPr>
          <w:rFonts w:cstheme="minorHAnsi"/>
          <w:i/>
          <w:sz w:val="20"/>
          <w:szCs w:val="20"/>
        </w:rPr>
        <w:t xml:space="preserve">F da </w:t>
      </w:r>
      <w:proofErr w:type="spellStart"/>
      <w:r w:rsidRPr="005441BB">
        <w:rPr>
          <w:rFonts w:cstheme="minorHAnsi"/>
          <w:i/>
          <w:sz w:val="20"/>
          <w:szCs w:val="20"/>
        </w:rPr>
        <w:t>OneWay</w:t>
      </w:r>
      <w:proofErr w:type="spellEnd"/>
      <w:r w:rsidRPr="005441BB">
        <w:rPr>
          <w:rFonts w:cstheme="minorHAnsi"/>
          <w:i/>
          <w:sz w:val="20"/>
          <w:szCs w:val="20"/>
        </w:rPr>
        <w:t xml:space="preserve"> ANOVA, </w:t>
      </w:r>
      <w:r w:rsidRPr="005441BB">
        <w:rPr>
          <w:rFonts w:cstheme="minorHAnsi"/>
          <w:sz w:val="20"/>
          <w:szCs w:val="20"/>
        </w:rPr>
        <w:t xml:space="preserve">foi possível perceber que não existiam diferenças estatisticamente significativa entre os três grupos, em nenhuma das </w:t>
      </w:r>
      <w:proofErr w:type="spellStart"/>
      <w:r w:rsidRPr="005441BB">
        <w:rPr>
          <w:rFonts w:cstheme="minorHAnsi"/>
          <w:sz w:val="20"/>
          <w:szCs w:val="20"/>
        </w:rPr>
        <w:t>subscal</w:t>
      </w:r>
      <w:r w:rsidR="005D6CB4">
        <w:rPr>
          <w:rFonts w:cstheme="minorHAnsi"/>
          <w:sz w:val="20"/>
          <w:szCs w:val="20"/>
        </w:rPr>
        <w:t>as</w:t>
      </w:r>
      <w:proofErr w:type="spellEnd"/>
      <w:r w:rsidR="005D6CB4">
        <w:rPr>
          <w:rFonts w:cstheme="minorHAnsi"/>
          <w:sz w:val="20"/>
          <w:szCs w:val="20"/>
        </w:rPr>
        <w:t>, nem na escala global do QLI.</w:t>
      </w:r>
    </w:p>
    <w:p w:rsidR="00E17021" w:rsidRPr="005441BB" w:rsidRDefault="00E17021" w:rsidP="005441BB">
      <w:pPr>
        <w:autoSpaceDE w:val="0"/>
        <w:autoSpaceDN w:val="0"/>
        <w:adjustRightInd w:val="0"/>
        <w:spacing w:after="0" w:line="360" w:lineRule="auto"/>
        <w:ind w:left="360"/>
        <w:rPr>
          <w:rFonts w:cstheme="minorHAnsi"/>
          <w:sz w:val="20"/>
          <w:szCs w:val="20"/>
        </w:rPr>
      </w:pPr>
      <w:r w:rsidRPr="005441BB">
        <w:rPr>
          <w:rFonts w:cstheme="minorHAnsi"/>
          <w:sz w:val="20"/>
          <w:szCs w:val="20"/>
        </w:rPr>
        <w:t xml:space="preserve">  </w:t>
      </w:r>
    </w:p>
    <w:p w:rsidR="00E17021" w:rsidRPr="005441BB" w:rsidRDefault="00E17021" w:rsidP="005441BB">
      <w:pPr>
        <w:autoSpaceDE w:val="0"/>
        <w:autoSpaceDN w:val="0"/>
        <w:adjustRightInd w:val="0"/>
        <w:spacing w:after="0" w:line="360" w:lineRule="auto"/>
        <w:ind w:left="360" w:right="-142"/>
        <w:rPr>
          <w:rFonts w:cstheme="minorHAnsi"/>
          <w:sz w:val="20"/>
          <w:szCs w:val="20"/>
        </w:rPr>
      </w:pPr>
      <w:bookmarkStart w:id="0" w:name="_Toc338761828"/>
      <w:bookmarkStart w:id="1" w:name="_Toc338761985"/>
      <w:bookmarkStart w:id="2" w:name="_Toc338762134"/>
      <w:bookmarkStart w:id="3" w:name="_Toc338762496"/>
      <w:bookmarkStart w:id="4" w:name="_Toc338762715"/>
      <w:bookmarkStart w:id="5" w:name="_Toc338779017"/>
      <w:r w:rsidRPr="005441BB">
        <w:rPr>
          <w:rFonts w:cstheme="minorHAnsi"/>
          <w:sz w:val="20"/>
          <w:szCs w:val="20"/>
        </w:rPr>
        <w:t xml:space="preserve">Finalmente, e </w:t>
      </w:r>
      <w:r w:rsidR="003F47C8">
        <w:rPr>
          <w:rFonts w:cstheme="minorHAnsi"/>
          <w:sz w:val="20"/>
          <w:szCs w:val="20"/>
        </w:rPr>
        <w:t xml:space="preserve">para responder ao objetivo 3, </w:t>
      </w:r>
      <w:r w:rsidR="003F47C8" w:rsidRPr="005441BB">
        <w:rPr>
          <w:rFonts w:cstheme="minorHAnsi"/>
          <w:sz w:val="20"/>
          <w:szCs w:val="20"/>
        </w:rPr>
        <w:t xml:space="preserve">realizámos uma análise inferencial </w:t>
      </w:r>
      <w:r w:rsidR="003F47C8">
        <w:rPr>
          <w:rFonts w:cstheme="minorHAnsi"/>
          <w:sz w:val="20"/>
          <w:szCs w:val="20"/>
        </w:rPr>
        <w:t>sobre a</w:t>
      </w:r>
      <w:r w:rsidRPr="005441BB">
        <w:rPr>
          <w:rFonts w:cstheme="minorHAnsi"/>
          <w:sz w:val="20"/>
          <w:szCs w:val="20"/>
        </w:rPr>
        <w:t xml:space="preserve"> perceção de QV da amostra, </w:t>
      </w:r>
      <w:r w:rsidR="003F47C8">
        <w:rPr>
          <w:rFonts w:cstheme="minorHAnsi"/>
          <w:sz w:val="20"/>
          <w:szCs w:val="20"/>
        </w:rPr>
        <w:t>considerando</w:t>
      </w:r>
      <w:r w:rsidRPr="005441BB">
        <w:rPr>
          <w:rFonts w:cstheme="minorHAnsi"/>
          <w:sz w:val="20"/>
          <w:szCs w:val="20"/>
        </w:rPr>
        <w:t xml:space="preserve"> as variáveis sociodemográficas, de saúde e de tratamento</w:t>
      </w:r>
      <w:r w:rsidR="003F47C8">
        <w:rPr>
          <w:rFonts w:cstheme="minorHAnsi"/>
          <w:sz w:val="20"/>
          <w:szCs w:val="20"/>
        </w:rPr>
        <w:t xml:space="preserve">, </w:t>
      </w:r>
      <w:r w:rsidRPr="005441BB">
        <w:rPr>
          <w:rFonts w:cstheme="minorHAnsi"/>
          <w:sz w:val="20"/>
          <w:szCs w:val="20"/>
        </w:rPr>
        <w:t>recorrendo aos testes de comparação de médias (</w:t>
      </w:r>
      <w:r w:rsidRPr="008F0353">
        <w:rPr>
          <w:rFonts w:cstheme="minorHAnsi"/>
          <w:sz w:val="20"/>
          <w:szCs w:val="20"/>
        </w:rPr>
        <w:t xml:space="preserve">teste </w:t>
      </w:r>
      <w:r w:rsidR="007C1237" w:rsidRPr="008F0353">
        <w:rPr>
          <w:rFonts w:cstheme="minorHAnsi"/>
          <w:i/>
          <w:sz w:val="20"/>
          <w:szCs w:val="20"/>
        </w:rPr>
        <w:t xml:space="preserve">U de Mann </w:t>
      </w:r>
      <w:proofErr w:type="spellStart"/>
      <w:r w:rsidR="007C1237" w:rsidRPr="008F0353">
        <w:rPr>
          <w:rFonts w:cstheme="minorHAnsi"/>
          <w:i/>
          <w:sz w:val="20"/>
          <w:szCs w:val="20"/>
        </w:rPr>
        <w:t>Witney</w:t>
      </w:r>
      <w:proofErr w:type="spellEnd"/>
      <w:r w:rsidRPr="005441BB">
        <w:rPr>
          <w:rFonts w:cstheme="minorHAnsi"/>
          <w:sz w:val="20"/>
          <w:szCs w:val="20"/>
        </w:rPr>
        <w:t xml:space="preserve"> e teste F da ANOVA), à correlação </w:t>
      </w:r>
      <w:r w:rsidRPr="005441BB">
        <w:rPr>
          <w:rFonts w:cstheme="minorHAnsi"/>
          <w:i/>
          <w:sz w:val="20"/>
          <w:szCs w:val="20"/>
        </w:rPr>
        <w:t xml:space="preserve">r de </w:t>
      </w:r>
      <w:proofErr w:type="spellStart"/>
      <w:r w:rsidRPr="005441BB">
        <w:rPr>
          <w:rFonts w:cstheme="minorHAnsi"/>
          <w:i/>
          <w:sz w:val="20"/>
          <w:szCs w:val="20"/>
        </w:rPr>
        <w:t>Pearson</w:t>
      </w:r>
      <w:proofErr w:type="spellEnd"/>
      <w:r w:rsidRPr="005441BB">
        <w:rPr>
          <w:rFonts w:cstheme="minorHAnsi"/>
          <w:i/>
          <w:sz w:val="20"/>
          <w:szCs w:val="20"/>
        </w:rPr>
        <w:t xml:space="preserve"> </w:t>
      </w:r>
      <w:r w:rsidRPr="005441BB">
        <w:rPr>
          <w:rFonts w:cstheme="minorHAnsi"/>
          <w:sz w:val="20"/>
          <w:szCs w:val="20"/>
        </w:rPr>
        <w:t>e à regressão linear múltipla (R</w:t>
      </w:r>
      <w:r w:rsidRPr="005441BB">
        <w:rPr>
          <w:rFonts w:cstheme="minorHAnsi"/>
          <w:sz w:val="20"/>
          <w:szCs w:val="20"/>
          <w:vertAlign w:val="superscript"/>
        </w:rPr>
        <w:t>2</w:t>
      </w:r>
      <w:r w:rsidRPr="005441BB">
        <w:rPr>
          <w:rFonts w:cstheme="minorHAnsi"/>
          <w:sz w:val="20"/>
          <w:szCs w:val="20"/>
        </w:rPr>
        <w:t xml:space="preserve">). </w:t>
      </w:r>
    </w:p>
    <w:p w:rsidR="00E17021" w:rsidRPr="005441BB" w:rsidRDefault="00E17021" w:rsidP="005441BB">
      <w:pPr>
        <w:autoSpaceDE w:val="0"/>
        <w:autoSpaceDN w:val="0"/>
        <w:adjustRightInd w:val="0"/>
        <w:spacing w:after="0" w:line="360" w:lineRule="auto"/>
        <w:ind w:left="360" w:right="-142"/>
        <w:rPr>
          <w:rFonts w:cstheme="minorHAnsi"/>
          <w:sz w:val="20"/>
          <w:szCs w:val="20"/>
        </w:rPr>
      </w:pPr>
      <w:r w:rsidRPr="005441BB">
        <w:rPr>
          <w:rFonts w:cstheme="minorHAnsi"/>
          <w:sz w:val="20"/>
          <w:szCs w:val="20"/>
        </w:rPr>
        <w:t>Para facilitar a leitura dos resultados, a apresentação far-se-á de acordo com as variáveis em análise.</w:t>
      </w:r>
    </w:p>
    <w:p w:rsidR="00E17021" w:rsidRPr="005441BB" w:rsidRDefault="00E17021" w:rsidP="005441BB">
      <w:pPr>
        <w:autoSpaceDE w:val="0"/>
        <w:autoSpaceDN w:val="0"/>
        <w:adjustRightInd w:val="0"/>
        <w:spacing w:after="0" w:line="360" w:lineRule="auto"/>
        <w:ind w:left="360" w:right="-142"/>
        <w:rPr>
          <w:rFonts w:cstheme="minorHAnsi"/>
          <w:b/>
          <w:sz w:val="20"/>
          <w:szCs w:val="20"/>
        </w:rPr>
      </w:pPr>
    </w:p>
    <w:bookmarkEnd w:id="0"/>
    <w:bookmarkEnd w:id="1"/>
    <w:bookmarkEnd w:id="2"/>
    <w:bookmarkEnd w:id="3"/>
    <w:bookmarkEnd w:id="4"/>
    <w:bookmarkEnd w:id="5"/>
    <w:p w:rsidR="00E17021" w:rsidRPr="007C1237" w:rsidRDefault="00E17021" w:rsidP="005441BB">
      <w:pPr>
        <w:autoSpaceDE w:val="0"/>
        <w:autoSpaceDN w:val="0"/>
        <w:adjustRightInd w:val="0"/>
        <w:spacing w:after="0" w:line="360" w:lineRule="auto"/>
        <w:ind w:left="360" w:right="-142"/>
        <w:rPr>
          <w:rFonts w:cstheme="minorHAnsi"/>
          <w:sz w:val="20"/>
          <w:szCs w:val="20"/>
        </w:rPr>
      </w:pPr>
      <w:r w:rsidRPr="007C1237">
        <w:rPr>
          <w:rFonts w:cstheme="minorHAnsi"/>
          <w:sz w:val="20"/>
          <w:szCs w:val="20"/>
        </w:rPr>
        <w:t>Variáveis Sociodemográficas</w:t>
      </w:r>
      <w:r w:rsidR="00EB40C4">
        <w:rPr>
          <w:rFonts w:cstheme="minorHAnsi"/>
          <w:sz w:val="20"/>
          <w:szCs w:val="20"/>
        </w:rPr>
        <w:t>:</w:t>
      </w:r>
    </w:p>
    <w:p w:rsidR="00E17021" w:rsidRPr="007C1237" w:rsidRDefault="00E17021" w:rsidP="005441BB">
      <w:pPr>
        <w:autoSpaceDE w:val="0"/>
        <w:autoSpaceDN w:val="0"/>
        <w:adjustRightInd w:val="0"/>
        <w:spacing w:after="0" w:line="360" w:lineRule="auto"/>
        <w:ind w:left="360" w:right="-142"/>
        <w:rPr>
          <w:rFonts w:cstheme="minorHAnsi"/>
          <w:bCs/>
          <w:sz w:val="20"/>
          <w:szCs w:val="20"/>
        </w:rPr>
      </w:pPr>
    </w:p>
    <w:p w:rsidR="00E17021" w:rsidRPr="00EB40C4" w:rsidRDefault="007C1237" w:rsidP="00EB40C4">
      <w:pPr>
        <w:pStyle w:val="PargrafodaLista"/>
        <w:numPr>
          <w:ilvl w:val="0"/>
          <w:numId w:val="9"/>
        </w:numPr>
        <w:spacing w:after="0" w:line="360" w:lineRule="auto"/>
        <w:ind w:left="567" w:hanging="207"/>
        <w:rPr>
          <w:rFonts w:cstheme="minorHAnsi"/>
          <w:i/>
          <w:sz w:val="20"/>
          <w:szCs w:val="20"/>
        </w:rPr>
      </w:pPr>
      <w:r w:rsidRPr="00EB40C4">
        <w:rPr>
          <w:rFonts w:cstheme="minorHAnsi"/>
          <w:i/>
          <w:sz w:val="20"/>
          <w:szCs w:val="20"/>
        </w:rPr>
        <w:t>Sexo</w:t>
      </w:r>
    </w:p>
    <w:p w:rsidR="00E17021" w:rsidRPr="007C1237" w:rsidRDefault="00E17021" w:rsidP="0001519E">
      <w:pPr>
        <w:pStyle w:val="Tabelas"/>
        <w:spacing w:before="0" w:after="0" w:line="360" w:lineRule="auto"/>
        <w:ind w:left="360"/>
        <w:jc w:val="center"/>
        <w:rPr>
          <w:rFonts w:asciiTheme="minorHAnsi" w:hAnsiTheme="minorHAnsi" w:cstheme="minorHAnsi"/>
          <w:b w:val="0"/>
          <w:color w:val="auto"/>
          <w:sz w:val="16"/>
          <w:szCs w:val="16"/>
        </w:rPr>
      </w:pPr>
      <w:bookmarkStart w:id="6" w:name="_Toc333503566"/>
      <w:bookmarkStart w:id="7" w:name="_Toc333503629"/>
      <w:bookmarkStart w:id="8" w:name="_Toc333504369"/>
      <w:bookmarkStart w:id="9" w:name="_Toc338771763"/>
      <w:r w:rsidRPr="007C1237">
        <w:rPr>
          <w:rFonts w:asciiTheme="minorHAnsi" w:hAnsiTheme="minorHAnsi" w:cstheme="minorHAnsi"/>
          <w:b w:val="0"/>
          <w:color w:val="auto"/>
          <w:sz w:val="16"/>
          <w:szCs w:val="16"/>
        </w:rPr>
        <w:t>Tabela 1</w:t>
      </w:r>
    </w:p>
    <w:p w:rsidR="00E17021" w:rsidRPr="007C1237" w:rsidRDefault="00E17021" w:rsidP="0001519E">
      <w:pPr>
        <w:pStyle w:val="Tabelas"/>
        <w:spacing w:before="0" w:after="0" w:line="360" w:lineRule="auto"/>
        <w:ind w:left="360"/>
        <w:jc w:val="center"/>
        <w:rPr>
          <w:rFonts w:asciiTheme="minorHAnsi" w:hAnsiTheme="minorHAnsi" w:cstheme="minorHAnsi"/>
          <w:b w:val="0"/>
          <w:i/>
          <w:color w:val="auto"/>
          <w:sz w:val="16"/>
          <w:szCs w:val="16"/>
        </w:rPr>
      </w:pPr>
      <w:r w:rsidRPr="007C1237">
        <w:rPr>
          <w:rFonts w:asciiTheme="minorHAnsi" w:hAnsiTheme="minorHAnsi" w:cstheme="minorHAnsi"/>
          <w:b w:val="0"/>
          <w:i/>
          <w:color w:val="auto"/>
          <w:sz w:val="16"/>
          <w:szCs w:val="16"/>
        </w:rPr>
        <w:t xml:space="preserve">Comparação de Médias entre os Sexos nas </w:t>
      </w:r>
      <w:proofErr w:type="spellStart"/>
      <w:r w:rsidRPr="007C1237">
        <w:rPr>
          <w:rFonts w:asciiTheme="minorHAnsi" w:hAnsiTheme="minorHAnsi" w:cstheme="minorHAnsi"/>
          <w:b w:val="0"/>
          <w:i/>
          <w:color w:val="auto"/>
          <w:sz w:val="16"/>
          <w:szCs w:val="16"/>
        </w:rPr>
        <w:t>Subscalas</w:t>
      </w:r>
      <w:proofErr w:type="spellEnd"/>
      <w:r w:rsidRPr="007C1237">
        <w:rPr>
          <w:rFonts w:asciiTheme="minorHAnsi" w:hAnsiTheme="minorHAnsi" w:cstheme="minorHAnsi"/>
          <w:b w:val="0"/>
          <w:i/>
          <w:color w:val="auto"/>
          <w:sz w:val="16"/>
          <w:szCs w:val="16"/>
        </w:rPr>
        <w:t xml:space="preserve"> e Escala Global do QLI</w:t>
      </w:r>
      <w:bookmarkEnd w:id="6"/>
      <w:bookmarkEnd w:id="7"/>
      <w:bookmarkEnd w:id="8"/>
      <w:bookmarkEnd w:id="9"/>
    </w:p>
    <w:tbl>
      <w:tblPr>
        <w:tblStyle w:val="TabelaSimples11"/>
        <w:tblW w:w="7723" w:type="dxa"/>
        <w:jc w:val="center"/>
        <w:tblLook w:val="04A0" w:firstRow="1" w:lastRow="0" w:firstColumn="1" w:lastColumn="0" w:noHBand="0" w:noVBand="1"/>
      </w:tblPr>
      <w:tblGrid>
        <w:gridCol w:w="1961"/>
        <w:gridCol w:w="1455"/>
        <w:gridCol w:w="917"/>
        <w:gridCol w:w="1151"/>
        <w:gridCol w:w="1208"/>
        <w:gridCol w:w="1031"/>
      </w:tblGrid>
      <w:tr w:rsidR="00F6428C" w:rsidRPr="005441BB" w:rsidTr="00F6428C">
        <w:trPr>
          <w:cnfStyle w:val="100000000000" w:firstRow="1" w:lastRow="0" w:firstColumn="0" w:lastColumn="0" w:oddVBand="0" w:evenVBand="0" w:oddHBand="0" w:evenHBand="0" w:firstRowFirstColumn="0" w:firstRowLastColumn="0" w:lastRowFirstColumn="0" w:lastRowLastColumn="0"/>
          <w:trHeight w:val="341"/>
          <w:jc w:val="center"/>
        </w:trPr>
        <w:tc>
          <w:tcPr>
            <w:cnfStyle w:val="001000000000" w:firstRow="0" w:lastRow="0" w:firstColumn="1" w:lastColumn="0" w:oddVBand="0" w:evenVBand="0" w:oddHBand="0" w:evenHBand="0" w:firstRowFirstColumn="0" w:firstRowLastColumn="0" w:lastRowFirstColumn="0" w:lastRowLastColumn="0"/>
            <w:tcW w:w="2019" w:type="dxa"/>
            <w:tcBorders>
              <w:top w:val="single" w:sz="4" w:space="0" w:color="auto"/>
              <w:bottom w:val="single" w:sz="4" w:space="0" w:color="auto"/>
            </w:tcBorders>
            <w:shd w:val="clear" w:color="auto" w:fill="D9D9D9" w:themeFill="background1" w:themeFillShade="D9"/>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proofErr w:type="spellStart"/>
            <w:r w:rsidRPr="007C1237">
              <w:rPr>
                <w:rFonts w:asciiTheme="minorHAnsi" w:hAnsiTheme="minorHAnsi" w:cstheme="minorHAnsi"/>
                <w:color w:val="auto"/>
                <w:sz w:val="16"/>
                <w:szCs w:val="16"/>
              </w:rPr>
              <w:t>Subscalas</w:t>
            </w:r>
            <w:proofErr w:type="spellEnd"/>
            <w:r w:rsidRPr="007C1237">
              <w:rPr>
                <w:rFonts w:asciiTheme="minorHAnsi" w:hAnsiTheme="minorHAnsi" w:cstheme="minorHAnsi"/>
                <w:color w:val="auto"/>
                <w:sz w:val="16"/>
                <w:szCs w:val="16"/>
              </w:rPr>
              <w:t>/Escala Global</w:t>
            </w:r>
          </w:p>
        </w:tc>
        <w:tc>
          <w:tcPr>
            <w:tcW w:w="1455" w:type="dxa"/>
            <w:tcBorders>
              <w:top w:val="single" w:sz="4" w:space="0" w:color="auto"/>
              <w:bottom w:val="single" w:sz="4" w:space="0" w:color="auto"/>
            </w:tcBorders>
            <w:shd w:val="clear" w:color="auto" w:fill="D9D9D9" w:themeFill="background1" w:themeFillShade="D9"/>
          </w:tcPr>
          <w:p w:rsidR="00F6428C" w:rsidRPr="007C1237" w:rsidRDefault="00F6428C" w:rsidP="0001519E">
            <w:pPr>
              <w:pStyle w:val="Tabelas"/>
              <w:spacing w:before="0" w:after="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7C1237">
              <w:rPr>
                <w:rFonts w:asciiTheme="minorHAnsi" w:hAnsiTheme="minorHAnsi" w:cstheme="minorHAnsi"/>
                <w:color w:val="auto"/>
                <w:sz w:val="16"/>
                <w:szCs w:val="16"/>
              </w:rPr>
              <w:t>Sexo</w:t>
            </w:r>
          </w:p>
        </w:tc>
        <w:tc>
          <w:tcPr>
            <w:tcW w:w="1057" w:type="dxa"/>
            <w:tcBorders>
              <w:top w:val="single" w:sz="4" w:space="0" w:color="auto"/>
              <w:bottom w:val="single" w:sz="4" w:space="0" w:color="auto"/>
            </w:tcBorders>
            <w:shd w:val="clear" w:color="auto" w:fill="D9D9D9" w:themeFill="background1" w:themeFillShade="D9"/>
          </w:tcPr>
          <w:p w:rsidR="00F6428C" w:rsidRPr="007C1237" w:rsidRDefault="00F6428C" w:rsidP="0001519E">
            <w:pPr>
              <w:pStyle w:val="Tabelas"/>
              <w:spacing w:before="0" w:after="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7C1237">
              <w:rPr>
                <w:rFonts w:asciiTheme="minorHAnsi" w:hAnsiTheme="minorHAnsi" w:cstheme="minorHAnsi"/>
                <w:color w:val="auto"/>
                <w:sz w:val="16"/>
                <w:szCs w:val="16"/>
              </w:rPr>
              <w:t>n</w:t>
            </w:r>
          </w:p>
        </w:tc>
        <w:tc>
          <w:tcPr>
            <w:tcW w:w="1151" w:type="dxa"/>
            <w:tcBorders>
              <w:top w:val="single" w:sz="4" w:space="0" w:color="auto"/>
              <w:bottom w:val="single" w:sz="4" w:space="0" w:color="auto"/>
            </w:tcBorders>
            <w:shd w:val="clear" w:color="auto" w:fill="D9D9D9" w:themeFill="background1" w:themeFillShade="D9"/>
          </w:tcPr>
          <w:p w:rsidR="00F6428C" w:rsidRPr="008F0353" w:rsidRDefault="00F6428C" w:rsidP="008F0353">
            <w:pPr>
              <w:pStyle w:val="Tabelas"/>
              <w:spacing w:before="0" w:after="0" w:line="360" w:lineRule="auto"/>
              <w:ind w:left="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eastAsia="en-US"/>
              </w:rPr>
            </w:pPr>
            <w:r>
              <w:rPr>
                <w:rFonts w:asciiTheme="minorHAnsi" w:hAnsiTheme="minorHAnsi" w:cstheme="minorHAnsi"/>
                <w:color w:val="auto"/>
                <w:sz w:val="16"/>
                <w:szCs w:val="16"/>
                <w:lang w:eastAsia="en-US"/>
              </w:rPr>
              <w:t>Postos Médios</w:t>
            </w:r>
          </w:p>
          <w:p w:rsidR="00F6428C" w:rsidRPr="008F0353" w:rsidRDefault="00F6428C" w:rsidP="0001519E">
            <w:pPr>
              <w:pStyle w:val="Tabelas"/>
              <w:spacing w:before="0" w:after="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p>
        </w:tc>
        <w:tc>
          <w:tcPr>
            <w:tcW w:w="996" w:type="dxa"/>
            <w:tcBorders>
              <w:top w:val="single" w:sz="4" w:space="0" w:color="auto"/>
              <w:bottom w:val="single" w:sz="4" w:space="0" w:color="auto"/>
            </w:tcBorders>
            <w:shd w:val="clear" w:color="auto" w:fill="D9D9D9" w:themeFill="background1" w:themeFillShade="D9"/>
          </w:tcPr>
          <w:p w:rsidR="00F6428C" w:rsidRPr="00F6428C" w:rsidRDefault="00F6428C" w:rsidP="008F0353">
            <w:pPr>
              <w:pStyle w:val="Tabelas"/>
              <w:spacing w:before="0" w:after="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auto"/>
                <w:sz w:val="16"/>
                <w:szCs w:val="16"/>
              </w:rPr>
            </w:pPr>
            <w:r w:rsidRPr="00F6428C">
              <w:rPr>
                <w:rFonts w:asciiTheme="minorHAnsi" w:hAnsiTheme="minorHAnsi" w:cstheme="minorHAnsi"/>
                <w:i/>
                <w:color w:val="auto"/>
                <w:sz w:val="16"/>
                <w:szCs w:val="16"/>
              </w:rPr>
              <w:t xml:space="preserve">U </w:t>
            </w:r>
          </w:p>
        </w:tc>
        <w:tc>
          <w:tcPr>
            <w:tcW w:w="1045" w:type="dxa"/>
            <w:tcBorders>
              <w:top w:val="single" w:sz="4" w:space="0" w:color="auto"/>
              <w:bottom w:val="single" w:sz="4" w:space="0" w:color="auto"/>
            </w:tcBorders>
            <w:shd w:val="clear" w:color="auto" w:fill="D9D9D9" w:themeFill="background1" w:themeFillShade="D9"/>
          </w:tcPr>
          <w:p w:rsidR="00F6428C" w:rsidRPr="00F6428C" w:rsidRDefault="00F6428C" w:rsidP="0001519E">
            <w:pPr>
              <w:pStyle w:val="Tabelas"/>
              <w:spacing w:before="0" w:after="0" w:line="360" w:lineRule="auto"/>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i/>
                <w:color w:val="auto"/>
                <w:sz w:val="16"/>
                <w:szCs w:val="16"/>
              </w:rPr>
            </w:pPr>
            <w:r w:rsidRPr="00F6428C">
              <w:rPr>
                <w:rFonts w:asciiTheme="minorHAnsi" w:hAnsiTheme="minorHAnsi" w:cstheme="minorHAnsi"/>
                <w:i/>
                <w:color w:val="auto"/>
                <w:sz w:val="16"/>
                <w:szCs w:val="16"/>
              </w:rPr>
              <w:t>p</w:t>
            </w:r>
          </w:p>
        </w:tc>
      </w:tr>
      <w:tr w:rsidR="00F6428C" w:rsidRPr="005441BB" w:rsidTr="00F6428C">
        <w:trPr>
          <w:cnfStyle w:val="000000100000" w:firstRow="0" w:lastRow="0" w:firstColumn="0" w:lastColumn="0" w:oddVBand="0" w:evenVBand="0" w:oddHBand="1" w:evenHBand="0" w:firstRowFirstColumn="0" w:firstRowLastColumn="0" w:lastRowFirstColumn="0" w:lastRowLastColumn="0"/>
          <w:trHeight w:val="353"/>
          <w:jc w:val="center"/>
        </w:trPr>
        <w:tc>
          <w:tcPr>
            <w:cnfStyle w:val="001000000000" w:firstRow="0" w:lastRow="0" w:firstColumn="1" w:lastColumn="0" w:oddVBand="0" w:evenVBand="0" w:oddHBand="0" w:evenHBand="0" w:firstRowFirstColumn="0" w:firstRowLastColumn="0" w:lastRowFirstColumn="0" w:lastRowLastColumn="0"/>
            <w:tcW w:w="2019" w:type="dxa"/>
            <w:vMerge w:val="restart"/>
            <w:tcBorders>
              <w:top w:val="single" w:sz="4" w:space="0" w:color="auto"/>
            </w:tcBorders>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r w:rsidRPr="007C1237">
              <w:rPr>
                <w:rFonts w:asciiTheme="minorHAnsi" w:hAnsiTheme="minorHAnsi" w:cstheme="minorHAnsi"/>
                <w:color w:val="auto"/>
                <w:sz w:val="16"/>
                <w:szCs w:val="16"/>
              </w:rPr>
              <w:t>Saúde e Funcionalidade (SF)</w:t>
            </w:r>
          </w:p>
        </w:tc>
        <w:tc>
          <w:tcPr>
            <w:tcW w:w="1455" w:type="dxa"/>
            <w:tcBorders>
              <w:top w:val="single" w:sz="4" w:space="0" w:color="auto"/>
            </w:tcBorders>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Masculino</w:t>
            </w:r>
          </w:p>
        </w:tc>
        <w:tc>
          <w:tcPr>
            <w:tcW w:w="1057" w:type="dxa"/>
            <w:tcBorders>
              <w:top w:val="single" w:sz="4" w:space="0" w:color="auto"/>
            </w:tcBorders>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84</w:t>
            </w:r>
          </w:p>
        </w:tc>
        <w:tc>
          <w:tcPr>
            <w:tcW w:w="1151" w:type="dxa"/>
            <w:tcBorders>
              <w:top w:val="single" w:sz="4" w:space="0" w:color="auto"/>
            </w:tcBorders>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58,04</w:t>
            </w:r>
          </w:p>
        </w:tc>
        <w:tc>
          <w:tcPr>
            <w:tcW w:w="996" w:type="dxa"/>
            <w:vMerge w:val="restart"/>
            <w:tcBorders>
              <w:top w:val="single" w:sz="4" w:space="0" w:color="auto"/>
            </w:tcBorders>
            <w:shd w:val="clear" w:color="auto" w:fill="FFFFFF" w:themeFill="background1"/>
          </w:tcPr>
          <w:p w:rsidR="00F6428C" w:rsidRPr="000F6F1A" w:rsidRDefault="00F6428C" w:rsidP="008F0353">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10" w:name="_Toc331611342"/>
            <w:bookmarkStart w:id="11" w:name="_Toc331611906"/>
            <w:r w:rsidRPr="000F6F1A">
              <w:rPr>
                <w:rFonts w:asciiTheme="minorHAnsi" w:hAnsiTheme="minorHAnsi" w:cstheme="minorHAnsi"/>
                <w:b w:val="0"/>
                <w:color w:val="auto"/>
                <w:sz w:val="16"/>
                <w:szCs w:val="16"/>
              </w:rPr>
              <w:t xml:space="preserve">711,000 </w:t>
            </w:r>
            <w:bookmarkEnd w:id="10"/>
            <w:bookmarkEnd w:id="11"/>
          </w:p>
        </w:tc>
        <w:tc>
          <w:tcPr>
            <w:tcW w:w="1045" w:type="dxa"/>
            <w:vMerge w:val="restart"/>
            <w:tcBorders>
              <w:top w:val="single" w:sz="4" w:space="0" w:color="auto"/>
            </w:tcBorders>
            <w:shd w:val="clear" w:color="auto" w:fill="FFFFFF" w:themeFill="background1"/>
          </w:tcPr>
          <w:p w:rsidR="00F6428C" w:rsidRPr="000F6F1A"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12" w:name="_Toc331611343"/>
            <w:bookmarkStart w:id="13" w:name="_Toc331611907"/>
            <w:r w:rsidRPr="000F6F1A">
              <w:rPr>
                <w:rFonts w:asciiTheme="minorHAnsi" w:hAnsiTheme="minorHAnsi" w:cstheme="minorHAnsi"/>
                <w:b w:val="0"/>
                <w:color w:val="auto"/>
                <w:sz w:val="16"/>
                <w:szCs w:val="16"/>
              </w:rPr>
              <w:t>0,0</w:t>
            </w:r>
            <w:bookmarkEnd w:id="12"/>
            <w:bookmarkEnd w:id="13"/>
            <w:r w:rsidRPr="000F6F1A">
              <w:rPr>
                <w:rFonts w:asciiTheme="minorHAnsi" w:hAnsiTheme="minorHAnsi" w:cstheme="minorHAnsi"/>
                <w:b w:val="0"/>
                <w:color w:val="auto"/>
                <w:sz w:val="16"/>
                <w:szCs w:val="16"/>
              </w:rPr>
              <w:t>2</w:t>
            </w:r>
          </w:p>
        </w:tc>
      </w:tr>
      <w:tr w:rsidR="00F6428C" w:rsidRPr="005441BB" w:rsidTr="00F6428C">
        <w:trPr>
          <w:trHeight w:val="330"/>
          <w:jc w:val="center"/>
        </w:trPr>
        <w:tc>
          <w:tcPr>
            <w:cnfStyle w:val="001000000000" w:firstRow="0" w:lastRow="0" w:firstColumn="1" w:lastColumn="0" w:oddVBand="0" w:evenVBand="0" w:oddHBand="0" w:evenHBand="0" w:firstRowFirstColumn="0" w:firstRowLastColumn="0" w:lastRowFirstColumn="0" w:lastRowLastColumn="0"/>
            <w:tcW w:w="2019" w:type="dxa"/>
            <w:vMerge/>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p>
        </w:tc>
        <w:tc>
          <w:tcPr>
            <w:tcW w:w="1455"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Feminino</w:t>
            </w:r>
          </w:p>
        </w:tc>
        <w:tc>
          <w:tcPr>
            <w:tcW w:w="1057"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24</w:t>
            </w:r>
          </w:p>
        </w:tc>
        <w:tc>
          <w:tcPr>
            <w:tcW w:w="1151"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42,13</w:t>
            </w:r>
          </w:p>
        </w:tc>
        <w:tc>
          <w:tcPr>
            <w:tcW w:w="996" w:type="dxa"/>
            <w:vMerge/>
            <w:shd w:val="clear" w:color="auto" w:fill="FFFFFF" w:themeFill="background1"/>
          </w:tcPr>
          <w:p w:rsidR="00F6428C" w:rsidRPr="000F6F1A"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c>
          <w:tcPr>
            <w:tcW w:w="1045" w:type="dxa"/>
            <w:vMerge/>
            <w:shd w:val="clear" w:color="auto" w:fill="FFFFFF" w:themeFill="background1"/>
          </w:tcPr>
          <w:p w:rsidR="00F6428C" w:rsidRPr="000F6F1A"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r>
      <w:tr w:rsidR="00F6428C" w:rsidRPr="005441BB" w:rsidTr="00F6428C">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2019" w:type="dxa"/>
            <w:vMerge w:val="restart"/>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r w:rsidRPr="007C1237">
              <w:rPr>
                <w:rFonts w:asciiTheme="minorHAnsi" w:hAnsiTheme="minorHAnsi" w:cstheme="minorHAnsi"/>
                <w:color w:val="auto"/>
                <w:sz w:val="16"/>
                <w:szCs w:val="16"/>
              </w:rPr>
              <w:t>Social e Económica (SE)</w:t>
            </w:r>
          </w:p>
        </w:tc>
        <w:tc>
          <w:tcPr>
            <w:tcW w:w="1455"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Masculino</w:t>
            </w:r>
          </w:p>
        </w:tc>
        <w:tc>
          <w:tcPr>
            <w:tcW w:w="1057"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84</w:t>
            </w:r>
          </w:p>
        </w:tc>
        <w:tc>
          <w:tcPr>
            <w:tcW w:w="1151"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56,28</w:t>
            </w:r>
          </w:p>
        </w:tc>
        <w:tc>
          <w:tcPr>
            <w:tcW w:w="996" w:type="dxa"/>
            <w:vMerge w:val="restart"/>
            <w:shd w:val="clear" w:color="auto" w:fill="FFFFFF" w:themeFill="background1"/>
          </w:tcPr>
          <w:p w:rsidR="00F6428C" w:rsidRPr="000F6F1A" w:rsidRDefault="00F6428C" w:rsidP="008F0353">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14" w:name="_Toc331611344"/>
            <w:bookmarkStart w:id="15" w:name="_Toc331611908"/>
            <w:r w:rsidRPr="000F6F1A">
              <w:rPr>
                <w:rFonts w:asciiTheme="minorHAnsi" w:hAnsiTheme="minorHAnsi" w:cstheme="minorHAnsi"/>
                <w:b w:val="0"/>
                <w:color w:val="auto"/>
                <w:sz w:val="16"/>
                <w:szCs w:val="16"/>
              </w:rPr>
              <w:t xml:space="preserve">858,500 </w:t>
            </w:r>
            <w:bookmarkEnd w:id="14"/>
            <w:bookmarkEnd w:id="15"/>
          </w:p>
        </w:tc>
        <w:tc>
          <w:tcPr>
            <w:tcW w:w="1045" w:type="dxa"/>
            <w:vMerge w:val="restart"/>
            <w:shd w:val="clear" w:color="auto" w:fill="FFFFFF" w:themeFill="background1"/>
          </w:tcPr>
          <w:p w:rsidR="00F6428C" w:rsidRPr="000F6F1A"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16" w:name="_Toc331611345"/>
            <w:bookmarkStart w:id="17" w:name="_Toc331611909"/>
            <w:proofErr w:type="spellStart"/>
            <w:r w:rsidRPr="000F6F1A">
              <w:rPr>
                <w:rFonts w:asciiTheme="minorHAnsi" w:hAnsiTheme="minorHAnsi" w:cstheme="minorHAnsi"/>
                <w:b w:val="0"/>
                <w:color w:val="auto"/>
                <w:sz w:val="16"/>
                <w:szCs w:val="16"/>
              </w:rPr>
              <w:t>ns</w:t>
            </w:r>
            <w:bookmarkEnd w:id="16"/>
            <w:bookmarkEnd w:id="17"/>
            <w:proofErr w:type="spellEnd"/>
          </w:p>
        </w:tc>
      </w:tr>
      <w:tr w:rsidR="00F6428C" w:rsidRPr="005441BB" w:rsidTr="00F6428C">
        <w:trPr>
          <w:trHeight w:val="361"/>
          <w:jc w:val="center"/>
        </w:trPr>
        <w:tc>
          <w:tcPr>
            <w:cnfStyle w:val="001000000000" w:firstRow="0" w:lastRow="0" w:firstColumn="1" w:lastColumn="0" w:oddVBand="0" w:evenVBand="0" w:oddHBand="0" w:evenHBand="0" w:firstRowFirstColumn="0" w:firstRowLastColumn="0" w:lastRowFirstColumn="0" w:lastRowLastColumn="0"/>
            <w:tcW w:w="2019" w:type="dxa"/>
            <w:vMerge/>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p>
        </w:tc>
        <w:tc>
          <w:tcPr>
            <w:tcW w:w="1455"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Feminino</w:t>
            </w:r>
          </w:p>
        </w:tc>
        <w:tc>
          <w:tcPr>
            <w:tcW w:w="1057"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24</w:t>
            </w:r>
          </w:p>
        </w:tc>
        <w:tc>
          <w:tcPr>
            <w:tcW w:w="1151"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48,27</w:t>
            </w:r>
          </w:p>
        </w:tc>
        <w:tc>
          <w:tcPr>
            <w:tcW w:w="996" w:type="dxa"/>
            <w:vMerge/>
            <w:shd w:val="clear" w:color="auto" w:fill="FFFFFF" w:themeFill="background1"/>
          </w:tcPr>
          <w:p w:rsidR="00F6428C" w:rsidRPr="000F6F1A"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c>
          <w:tcPr>
            <w:tcW w:w="1045" w:type="dxa"/>
            <w:vMerge/>
            <w:shd w:val="clear" w:color="auto" w:fill="FFFFFF" w:themeFill="background1"/>
          </w:tcPr>
          <w:p w:rsidR="00F6428C" w:rsidRPr="000F6F1A"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r>
      <w:tr w:rsidR="00F6428C" w:rsidRPr="005441BB" w:rsidTr="00F6428C">
        <w:trPr>
          <w:cnfStyle w:val="000000100000" w:firstRow="0" w:lastRow="0" w:firstColumn="0" w:lastColumn="0" w:oddVBand="0" w:evenVBand="0" w:oddHBand="1"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2019" w:type="dxa"/>
            <w:vMerge w:val="restart"/>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r w:rsidRPr="007C1237">
              <w:rPr>
                <w:rFonts w:asciiTheme="minorHAnsi" w:hAnsiTheme="minorHAnsi" w:cstheme="minorHAnsi"/>
                <w:color w:val="auto"/>
                <w:sz w:val="16"/>
                <w:szCs w:val="16"/>
              </w:rPr>
              <w:t>Psicológica e Espiritual (PE)</w:t>
            </w:r>
          </w:p>
        </w:tc>
        <w:tc>
          <w:tcPr>
            <w:tcW w:w="1455"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Masculino</w:t>
            </w:r>
          </w:p>
        </w:tc>
        <w:tc>
          <w:tcPr>
            <w:tcW w:w="1057"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84</w:t>
            </w:r>
          </w:p>
        </w:tc>
        <w:tc>
          <w:tcPr>
            <w:tcW w:w="1151"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58,74</w:t>
            </w:r>
          </w:p>
        </w:tc>
        <w:tc>
          <w:tcPr>
            <w:tcW w:w="996" w:type="dxa"/>
            <w:vMerge w:val="restart"/>
            <w:shd w:val="clear" w:color="auto" w:fill="FFFFFF" w:themeFill="background1"/>
          </w:tcPr>
          <w:p w:rsidR="00F6428C" w:rsidRPr="000F6F1A"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0F6F1A">
              <w:rPr>
                <w:rFonts w:asciiTheme="minorHAnsi" w:hAnsiTheme="minorHAnsi" w:cstheme="minorHAnsi"/>
                <w:b w:val="0"/>
                <w:color w:val="auto"/>
                <w:sz w:val="16"/>
                <w:szCs w:val="16"/>
              </w:rPr>
              <w:t>651,500</w:t>
            </w:r>
          </w:p>
          <w:p w:rsidR="00F6428C" w:rsidRPr="000F6F1A" w:rsidRDefault="00F6428C" w:rsidP="0001519E">
            <w:pPr>
              <w:pStyle w:val="Tabelas"/>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p>
        </w:tc>
        <w:tc>
          <w:tcPr>
            <w:tcW w:w="1045" w:type="dxa"/>
            <w:vMerge w:val="restart"/>
            <w:shd w:val="clear" w:color="auto" w:fill="FFFFFF" w:themeFill="background1"/>
          </w:tcPr>
          <w:p w:rsidR="00F6428C" w:rsidRPr="000F6F1A"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18" w:name="_Toc331611347"/>
            <w:bookmarkStart w:id="19" w:name="_Toc331611911"/>
            <w:r w:rsidRPr="000F6F1A">
              <w:rPr>
                <w:rFonts w:asciiTheme="minorHAnsi" w:hAnsiTheme="minorHAnsi" w:cstheme="minorHAnsi"/>
                <w:b w:val="0"/>
                <w:color w:val="auto"/>
                <w:sz w:val="16"/>
                <w:szCs w:val="16"/>
              </w:rPr>
              <w:t>0,00</w:t>
            </w:r>
            <w:bookmarkEnd w:id="18"/>
            <w:bookmarkEnd w:id="19"/>
            <w:r w:rsidRPr="000F6F1A">
              <w:rPr>
                <w:rFonts w:asciiTheme="minorHAnsi" w:hAnsiTheme="minorHAnsi" w:cstheme="minorHAnsi"/>
                <w:b w:val="0"/>
                <w:color w:val="auto"/>
                <w:sz w:val="16"/>
                <w:szCs w:val="16"/>
              </w:rPr>
              <w:t>8</w:t>
            </w:r>
          </w:p>
          <w:p w:rsidR="00F6428C" w:rsidRPr="000F6F1A" w:rsidRDefault="00F6428C" w:rsidP="0001519E">
            <w:pPr>
              <w:pStyle w:val="Tabelas"/>
              <w:spacing w:before="0" w:after="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p>
        </w:tc>
      </w:tr>
      <w:tr w:rsidR="00F6428C" w:rsidRPr="005441BB" w:rsidTr="00F6428C">
        <w:trPr>
          <w:trHeight w:val="370"/>
          <w:jc w:val="center"/>
        </w:trPr>
        <w:tc>
          <w:tcPr>
            <w:cnfStyle w:val="001000000000" w:firstRow="0" w:lastRow="0" w:firstColumn="1" w:lastColumn="0" w:oddVBand="0" w:evenVBand="0" w:oddHBand="0" w:evenHBand="0" w:firstRowFirstColumn="0" w:firstRowLastColumn="0" w:lastRowFirstColumn="0" w:lastRowLastColumn="0"/>
            <w:tcW w:w="2019" w:type="dxa"/>
            <w:vMerge/>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p>
        </w:tc>
        <w:tc>
          <w:tcPr>
            <w:tcW w:w="1455"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Feminino</w:t>
            </w:r>
          </w:p>
        </w:tc>
        <w:tc>
          <w:tcPr>
            <w:tcW w:w="1057"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24</w:t>
            </w:r>
          </w:p>
        </w:tc>
        <w:tc>
          <w:tcPr>
            <w:tcW w:w="1151" w:type="dxa"/>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39,65</w:t>
            </w:r>
          </w:p>
        </w:tc>
        <w:tc>
          <w:tcPr>
            <w:tcW w:w="996" w:type="dxa"/>
            <w:vMerge/>
            <w:shd w:val="clear" w:color="auto" w:fill="FFFFFF" w:themeFill="background1"/>
          </w:tcPr>
          <w:p w:rsidR="00F6428C" w:rsidRPr="000F6F1A"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c>
          <w:tcPr>
            <w:tcW w:w="1045" w:type="dxa"/>
            <w:vMerge/>
            <w:shd w:val="clear" w:color="auto" w:fill="FFFFFF" w:themeFill="background1"/>
          </w:tcPr>
          <w:p w:rsidR="00F6428C" w:rsidRPr="000F6F1A"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r>
      <w:tr w:rsidR="00F6428C" w:rsidRPr="005441BB" w:rsidTr="00F6428C">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2019" w:type="dxa"/>
            <w:vMerge w:val="restart"/>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r w:rsidRPr="007C1237">
              <w:rPr>
                <w:rFonts w:asciiTheme="minorHAnsi" w:hAnsiTheme="minorHAnsi" w:cstheme="minorHAnsi"/>
                <w:color w:val="auto"/>
                <w:sz w:val="16"/>
                <w:szCs w:val="16"/>
              </w:rPr>
              <w:t>Familiar (F)</w:t>
            </w:r>
          </w:p>
        </w:tc>
        <w:tc>
          <w:tcPr>
            <w:tcW w:w="1455"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Masculino</w:t>
            </w:r>
          </w:p>
        </w:tc>
        <w:tc>
          <w:tcPr>
            <w:tcW w:w="1057"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84</w:t>
            </w:r>
          </w:p>
        </w:tc>
        <w:tc>
          <w:tcPr>
            <w:tcW w:w="1151"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57,63</w:t>
            </w:r>
          </w:p>
        </w:tc>
        <w:tc>
          <w:tcPr>
            <w:tcW w:w="996" w:type="dxa"/>
            <w:vMerge w:val="restart"/>
            <w:shd w:val="clear" w:color="auto" w:fill="FFFFFF" w:themeFill="background1"/>
          </w:tcPr>
          <w:p w:rsidR="00F6428C" w:rsidRPr="000F6F1A" w:rsidRDefault="00F6428C" w:rsidP="008F0353">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20" w:name="_Toc331611348"/>
            <w:bookmarkStart w:id="21" w:name="_Toc331611912"/>
            <w:r w:rsidRPr="000F6F1A">
              <w:rPr>
                <w:rFonts w:asciiTheme="minorHAnsi" w:hAnsiTheme="minorHAnsi" w:cstheme="minorHAnsi"/>
                <w:b w:val="0"/>
                <w:color w:val="auto"/>
                <w:sz w:val="16"/>
                <w:szCs w:val="16"/>
              </w:rPr>
              <w:t xml:space="preserve">745,000 </w:t>
            </w:r>
            <w:bookmarkEnd w:id="20"/>
            <w:bookmarkEnd w:id="21"/>
          </w:p>
        </w:tc>
        <w:tc>
          <w:tcPr>
            <w:tcW w:w="1045" w:type="dxa"/>
            <w:vMerge w:val="restart"/>
            <w:shd w:val="clear" w:color="auto" w:fill="FFFFFF" w:themeFill="background1"/>
          </w:tcPr>
          <w:p w:rsidR="00F6428C" w:rsidRPr="000F6F1A"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22" w:name="_Toc331611349"/>
            <w:bookmarkStart w:id="23" w:name="_Toc331611913"/>
            <w:r w:rsidRPr="000F6F1A">
              <w:rPr>
                <w:rFonts w:asciiTheme="minorHAnsi" w:hAnsiTheme="minorHAnsi" w:cstheme="minorHAnsi"/>
                <w:b w:val="0"/>
                <w:color w:val="auto"/>
                <w:sz w:val="16"/>
                <w:szCs w:val="16"/>
              </w:rPr>
              <w:t>0,0</w:t>
            </w:r>
            <w:bookmarkEnd w:id="22"/>
            <w:bookmarkEnd w:id="23"/>
            <w:r w:rsidRPr="000F6F1A">
              <w:rPr>
                <w:rFonts w:asciiTheme="minorHAnsi" w:hAnsiTheme="minorHAnsi" w:cstheme="minorHAnsi"/>
                <w:b w:val="0"/>
                <w:color w:val="auto"/>
                <w:sz w:val="16"/>
                <w:szCs w:val="16"/>
              </w:rPr>
              <w:t>4</w:t>
            </w:r>
          </w:p>
        </w:tc>
      </w:tr>
      <w:tr w:rsidR="00F6428C" w:rsidRPr="005441BB" w:rsidTr="00F6428C">
        <w:trPr>
          <w:trHeight w:val="361"/>
          <w:jc w:val="center"/>
        </w:trPr>
        <w:tc>
          <w:tcPr>
            <w:cnfStyle w:val="001000000000" w:firstRow="0" w:lastRow="0" w:firstColumn="1" w:lastColumn="0" w:oddVBand="0" w:evenVBand="0" w:oddHBand="0" w:evenHBand="0" w:firstRowFirstColumn="0" w:firstRowLastColumn="0" w:lastRowFirstColumn="0" w:lastRowLastColumn="0"/>
            <w:tcW w:w="2019" w:type="dxa"/>
            <w:vMerge/>
            <w:tcBorders>
              <w:bottom w:val="single" w:sz="4" w:space="0" w:color="BFBFBF" w:themeColor="background1" w:themeShade="BF"/>
            </w:tcBorders>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p>
        </w:tc>
        <w:tc>
          <w:tcPr>
            <w:tcW w:w="1455" w:type="dxa"/>
            <w:tcBorders>
              <w:bottom w:val="single" w:sz="4" w:space="0" w:color="BFBFBF" w:themeColor="background1" w:themeShade="BF"/>
            </w:tcBorders>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Feminino</w:t>
            </w:r>
          </w:p>
        </w:tc>
        <w:tc>
          <w:tcPr>
            <w:tcW w:w="1057" w:type="dxa"/>
            <w:tcBorders>
              <w:bottom w:val="single" w:sz="4" w:space="0" w:color="BFBFBF" w:themeColor="background1" w:themeShade="BF"/>
            </w:tcBorders>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24</w:t>
            </w:r>
          </w:p>
        </w:tc>
        <w:tc>
          <w:tcPr>
            <w:tcW w:w="1151" w:type="dxa"/>
            <w:tcBorders>
              <w:bottom w:val="single" w:sz="4" w:space="0" w:color="BFBFBF" w:themeColor="background1" w:themeShade="BF"/>
            </w:tcBorders>
            <w:shd w:val="clear" w:color="auto" w:fill="FFFFFF" w:themeFill="background1"/>
          </w:tcPr>
          <w:p w:rsidR="00F6428C" w:rsidRPr="007C1237"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43,54</w:t>
            </w:r>
          </w:p>
        </w:tc>
        <w:tc>
          <w:tcPr>
            <w:tcW w:w="996" w:type="dxa"/>
            <w:vMerge/>
            <w:tcBorders>
              <w:bottom w:val="single" w:sz="4" w:space="0" w:color="BFBFBF" w:themeColor="background1" w:themeShade="BF"/>
            </w:tcBorders>
            <w:shd w:val="clear" w:color="auto" w:fill="FFFFFF" w:themeFill="background1"/>
          </w:tcPr>
          <w:p w:rsidR="00F6428C" w:rsidRPr="000F6F1A"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c>
          <w:tcPr>
            <w:tcW w:w="1045" w:type="dxa"/>
            <w:vMerge/>
            <w:tcBorders>
              <w:bottom w:val="single" w:sz="4" w:space="0" w:color="BFBFBF" w:themeColor="background1" w:themeShade="BF"/>
            </w:tcBorders>
            <w:shd w:val="clear" w:color="auto" w:fill="FFFFFF" w:themeFill="background1"/>
          </w:tcPr>
          <w:p w:rsidR="00F6428C" w:rsidRPr="000F6F1A"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p>
        </w:tc>
      </w:tr>
      <w:tr w:rsidR="00F6428C" w:rsidRPr="005441BB" w:rsidTr="00F6428C">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2019" w:type="dxa"/>
            <w:vMerge w:val="restart"/>
            <w:shd w:val="clear" w:color="auto" w:fill="FFFFFF" w:themeFill="background1"/>
          </w:tcPr>
          <w:p w:rsidR="00F6428C" w:rsidRPr="007C1237" w:rsidRDefault="00F6428C" w:rsidP="0001519E">
            <w:pPr>
              <w:pStyle w:val="Tabelas"/>
              <w:spacing w:before="0" w:after="0" w:line="360" w:lineRule="auto"/>
              <w:ind w:left="360"/>
              <w:jc w:val="center"/>
              <w:rPr>
                <w:rFonts w:asciiTheme="minorHAnsi" w:hAnsiTheme="minorHAnsi" w:cstheme="minorHAnsi"/>
                <w:color w:val="auto"/>
                <w:sz w:val="16"/>
                <w:szCs w:val="16"/>
              </w:rPr>
            </w:pPr>
            <w:r w:rsidRPr="007C1237">
              <w:rPr>
                <w:rFonts w:asciiTheme="minorHAnsi" w:hAnsiTheme="minorHAnsi" w:cstheme="minorHAnsi"/>
                <w:color w:val="auto"/>
                <w:sz w:val="16"/>
                <w:szCs w:val="16"/>
              </w:rPr>
              <w:t>Qualidade de Vida Global (QL</w:t>
            </w:r>
            <w:r>
              <w:rPr>
                <w:rFonts w:asciiTheme="minorHAnsi" w:hAnsiTheme="minorHAnsi" w:cstheme="minorHAnsi"/>
                <w:color w:val="auto"/>
                <w:sz w:val="16"/>
                <w:szCs w:val="16"/>
              </w:rPr>
              <w:t>I</w:t>
            </w:r>
            <w:r w:rsidRPr="007C1237">
              <w:rPr>
                <w:rFonts w:asciiTheme="minorHAnsi" w:hAnsiTheme="minorHAnsi" w:cstheme="minorHAnsi"/>
                <w:color w:val="auto"/>
                <w:sz w:val="16"/>
                <w:szCs w:val="16"/>
              </w:rPr>
              <w:t>)</w:t>
            </w:r>
          </w:p>
        </w:tc>
        <w:tc>
          <w:tcPr>
            <w:tcW w:w="1455"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Masculino</w:t>
            </w:r>
          </w:p>
        </w:tc>
        <w:tc>
          <w:tcPr>
            <w:tcW w:w="1057"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7C1237">
              <w:rPr>
                <w:rFonts w:asciiTheme="minorHAnsi" w:hAnsiTheme="minorHAnsi" w:cstheme="minorHAnsi"/>
                <w:b w:val="0"/>
                <w:color w:val="auto"/>
                <w:sz w:val="16"/>
                <w:szCs w:val="16"/>
              </w:rPr>
              <w:t>84</w:t>
            </w:r>
          </w:p>
        </w:tc>
        <w:tc>
          <w:tcPr>
            <w:tcW w:w="1151" w:type="dxa"/>
            <w:shd w:val="clear" w:color="auto" w:fill="FFFFFF" w:themeFill="background1"/>
          </w:tcPr>
          <w:p w:rsidR="00F6428C" w:rsidRPr="007C1237"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r w:rsidRPr="00F6428C">
              <w:rPr>
                <w:rFonts w:asciiTheme="minorHAnsi" w:hAnsiTheme="minorHAnsi" w:cstheme="minorHAnsi"/>
                <w:b w:val="0"/>
                <w:color w:val="auto"/>
                <w:sz w:val="16"/>
                <w:szCs w:val="16"/>
              </w:rPr>
              <w:t>58,59</w:t>
            </w:r>
          </w:p>
        </w:tc>
        <w:tc>
          <w:tcPr>
            <w:tcW w:w="996" w:type="dxa"/>
            <w:vMerge w:val="restart"/>
            <w:tcBorders>
              <w:bottom w:val="single" w:sz="4" w:space="0" w:color="auto"/>
            </w:tcBorders>
            <w:shd w:val="clear" w:color="auto" w:fill="FFFFFF" w:themeFill="background1"/>
          </w:tcPr>
          <w:p w:rsidR="00F6428C" w:rsidRPr="000F6F1A" w:rsidRDefault="00F6428C" w:rsidP="008F0353">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24" w:name="_Toc331611350"/>
            <w:bookmarkStart w:id="25" w:name="_Toc331611914"/>
            <w:r w:rsidRPr="000F6F1A">
              <w:rPr>
                <w:rFonts w:asciiTheme="minorHAnsi" w:hAnsiTheme="minorHAnsi" w:cstheme="minorHAnsi"/>
                <w:b w:val="0"/>
                <w:color w:val="auto"/>
                <w:sz w:val="16"/>
                <w:szCs w:val="16"/>
              </w:rPr>
              <w:t xml:space="preserve">664,500 </w:t>
            </w:r>
            <w:bookmarkEnd w:id="24"/>
            <w:bookmarkEnd w:id="25"/>
          </w:p>
        </w:tc>
        <w:tc>
          <w:tcPr>
            <w:tcW w:w="1045" w:type="dxa"/>
            <w:vMerge w:val="restart"/>
            <w:tcBorders>
              <w:bottom w:val="single" w:sz="4" w:space="0" w:color="auto"/>
            </w:tcBorders>
            <w:shd w:val="clear" w:color="auto" w:fill="FFFFFF" w:themeFill="background1"/>
          </w:tcPr>
          <w:p w:rsidR="00F6428C" w:rsidRPr="000F6F1A" w:rsidRDefault="00F6428C" w:rsidP="0001519E">
            <w:pPr>
              <w:pStyle w:val="Tabelas"/>
              <w:spacing w:before="0" w:after="0" w:line="360" w:lineRule="auto"/>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auto"/>
                <w:sz w:val="16"/>
                <w:szCs w:val="16"/>
              </w:rPr>
            </w:pPr>
            <w:bookmarkStart w:id="26" w:name="_Toc331611351"/>
            <w:bookmarkStart w:id="27" w:name="_Toc331611915"/>
            <w:r w:rsidRPr="000F6F1A">
              <w:rPr>
                <w:rFonts w:asciiTheme="minorHAnsi" w:hAnsiTheme="minorHAnsi" w:cstheme="minorHAnsi"/>
                <w:b w:val="0"/>
                <w:color w:val="auto"/>
                <w:sz w:val="16"/>
                <w:szCs w:val="16"/>
              </w:rPr>
              <w:t>0,01</w:t>
            </w:r>
            <w:bookmarkStart w:id="28" w:name="_GoBack"/>
            <w:bookmarkEnd w:id="26"/>
            <w:bookmarkEnd w:id="27"/>
            <w:bookmarkEnd w:id="28"/>
          </w:p>
        </w:tc>
      </w:tr>
      <w:tr w:rsidR="00F6428C" w:rsidRPr="005441BB" w:rsidTr="00F6428C">
        <w:trPr>
          <w:trHeight w:val="295"/>
          <w:jc w:val="center"/>
        </w:trPr>
        <w:tc>
          <w:tcPr>
            <w:cnfStyle w:val="001000000000" w:firstRow="0" w:lastRow="0" w:firstColumn="1" w:lastColumn="0" w:oddVBand="0" w:evenVBand="0" w:oddHBand="0" w:evenHBand="0" w:firstRowFirstColumn="0" w:firstRowLastColumn="0" w:lastRowFirstColumn="0" w:lastRowLastColumn="0"/>
            <w:tcW w:w="2019" w:type="dxa"/>
            <w:vMerge/>
            <w:tcBorders>
              <w:bottom w:val="single" w:sz="4" w:space="0" w:color="auto"/>
            </w:tcBorders>
          </w:tcPr>
          <w:p w:rsidR="00F6428C" w:rsidRPr="005441BB" w:rsidRDefault="00F6428C" w:rsidP="0001519E">
            <w:pPr>
              <w:pStyle w:val="Tabelas"/>
              <w:spacing w:before="0" w:after="0" w:line="360" w:lineRule="auto"/>
              <w:ind w:left="360"/>
              <w:jc w:val="center"/>
              <w:rPr>
                <w:rFonts w:asciiTheme="minorHAnsi" w:hAnsiTheme="minorHAnsi" w:cstheme="minorHAnsi"/>
                <w:bCs w:val="0"/>
                <w:color w:val="auto"/>
                <w:szCs w:val="20"/>
              </w:rPr>
            </w:pPr>
          </w:p>
        </w:tc>
        <w:tc>
          <w:tcPr>
            <w:tcW w:w="1455" w:type="dxa"/>
            <w:tcBorders>
              <w:bottom w:val="single" w:sz="4" w:space="0" w:color="auto"/>
            </w:tcBorders>
          </w:tcPr>
          <w:p w:rsidR="00F6428C" w:rsidRPr="005441BB"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Cs w:val="20"/>
              </w:rPr>
            </w:pPr>
            <w:r w:rsidRPr="005441BB">
              <w:rPr>
                <w:rFonts w:asciiTheme="minorHAnsi" w:hAnsiTheme="minorHAnsi" w:cstheme="minorHAnsi"/>
                <w:b w:val="0"/>
                <w:color w:val="auto"/>
                <w:szCs w:val="20"/>
              </w:rPr>
              <w:t>Feminino</w:t>
            </w:r>
          </w:p>
        </w:tc>
        <w:tc>
          <w:tcPr>
            <w:tcW w:w="1057" w:type="dxa"/>
            <w:tcBorders>
              <w:bottom w:val="single" w:sz="4" w:space="0" w:color="auto"/>
            </w:tcBorders>
          </w:tcPr>
          <w:p w:rsidR="00F6428C" w:rsidRPr="00F6428C"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F6428C">
              <w:rPr>
                <w:rFonts w:asciiTheme="minorHAnsi" w:hAnsiTheme="minorHAnsi" w:cstheme="minorHAnsi"/>
                <w:b w:val="0"/>
                <w:color w:val="auto"/>
                <w:sz w:val="16"/>
                <w:szCs w:val="16"/>
              </w:rPr>
              <w:t>24</w:t>
            </w:r>
          </w:p>
        </w:tc>
        <w:tc>
          <w:tcPr>
            <w:tcW w:w="1151" w:type="dxa"/>
            <w:tcBorders>
              <w:bottom w:val="single" w:sz="4" w:space="0" w:color="auto"/>
            </w:tcBorders>
          </w:tcPr>
          <w:p w:rsidR="00F6428C" w:rsidRPr="00F6428C"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Pr>
                <w:rFonts w:asciiTheme="minorHAnsi" w:hAnsiTheme="minorHAnsi" w:cstheme="minorHAnsi"/>
                <w:b w:val="0"/>
                <w:color w:val="auto"/>
                <w:sz w:val="16"/>
                <w:szCs w:val="16"/>
              </w:rPr>
              <w:t>40,19</w:t>
            </w:r>
          </w:p>
        </w:tc>
        <w:tc>
          <w:tcPr>
            <w:tcW w:w="996" w:type="dxa"/>
            <w:vMerge/>
            <w:tcBorders>
              <w:bottom w:val="single" w:sz="4" w:space="0" w:color="auto"/>
            </w:tcBorders>
          </w:tcPr>
          <w:p w:rsidR="00F6428C" w:rsidRPr="005441BB"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Cs w:val="20"/>
              </w:rPr>
            </w:pPr>
          </w:p>
        </w:tc>
        <w:tc>
          <w:tcPr>
            <w:tcW w:w="1045" w:type="dxa"/>
            <w:vMerge/>
            <w:tcBorders>
              <w:bottom w:val="single" w:sz="4" w:space="0" w:color="auto"/>
            </w:tcBorders>
          </w:tcPr>
          <w:p w:rsidR="00F6428C" w:rsidRPr="005441BB" w:rsidRDefault="00F6428C" w:rsidP="0001519E">
            <w:pPr>
              <w:pStyle w:val="Tabelas"/>
              <w:spacing w:before="0" w:after="0" w:line="360" w:lineRule="auto"/>
              <w:ind w:left="3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auto"/>
                <w:szCs w:val="20"/>
              </w:rPr>
            </w:pPr>
          </w:p>
        </w:tc>
      </w:tr>
    </w:tbl>
    <w:p w:rsidR="00E17021" w:rsidRPr="005441BB" w:rsidRDefault="00E17021" w:rsidP="005441BB">
      <w:pPr>
        <w:spacing w:after="0" w:line="360" w:lineRule="auto"/>
        <w:ind w:left="360"/>
        <w:rPr>
          <w:rFonts w:cstheme="minorHAnsi"/>
          <w:sz w:val="20"/>
          <w:szCs w:val="20"/>
        </w:rPr>
      </w:pPr>
      <w:r w:rsidRPr="005441BB">
        <w:rPr>
          <w:rFonts w:cstheme="minorHAnsi"/>
          <w:sz w:val="20"/>
          <w:szCs w:val="20"/>
        </w:rPr>
        <w:lastRenderedPageBreak/>
        <w:t xml:space="preserve">A análise do quadro anterior permite-nos concluir que existem diferenças estatisticamente significativas entre </w:t>
      </w:r>
      <w:r w:rsidR="00D4556D">
        <w:rPr>
          <w:rFonts w:cstheme="minorHAnsi"/>
          <w:sz w:val="20"/>
          <w:szCs w:val="20"/>
        </w:rPr>
        <w:t>os homens e as mulheres da amostra</w:t>
      </w:r>
      <w:r w:rsidRPr="005441BB">
        <w:rPr>
          <w:rFonts w:cstheme="minorHAnsi"/>
          <w:sz w:val="20"/>
          <w:szCs w:val="20"/>
        </w:rPr>
        <w:t xml:space="preserve">, relativamente à perceção sobre a sua </w:t>
      </w:r>
      <w:r w:rsidR="0002273B">
        <w:rPr>
          <w:rFonts w:cstheme="minorHAnsi"/>
          <w:sz w:val="20"/>
          <w:szCs w:val="20"/>
        </w:rPr>
        <w:t>“S</w:t>
      </w:r>
      <w:r w:rsidRPr="005441BB">
        <w:rPr>
          <w:rFonts w:cstheme="minorHAnsi"/>
          <w:sz w:val="20"/>
          <w:szCs w:val="20"/>
        </w:rPr>
        <w:t xml:space="preserve">aúde e </w:t>
      </w:r>
      <w:r w:rsidR="0002273B">
        <w:rPr>
          <w:rFonts w:cstheme="minorHAnsi"/>
          <w:sz w:val="20"/>
          <w:szCs w:val="20"/>
        </w:rPr>
        <w:t>F</w:t>
      </w:r>
      <w:r w:rsidRPr="005441BB">
        <w:rPr>
          <w:rFonts w:cstheme="minorHAnsi"/>
          <w:sz w:val="20"/>
          <w:szCs w:val="20"/>
        </w:rPr>
        <w:t>uncionalidade</w:t>
      </w:r>
      <w:r w:rsidR="0002273B">
        <w:rPr>
          <w:rFonts w:cstheme="minorHAnsi"/>
          <w:sz w:val="20"/>
          <w:szCs w:val="20"/>
        </w:rPr>
        <w:t>”</w:t>
      </w:r>
      <w:r w:rsidRPr="005441BB">
        <w:rPr>
          <w:rFonts w:cstheme="minorHAnsi"/>
          <w:sz w:val="20"/>
          <w:szCs w:val="20"/>
        </w:rPr>
        <w:t xml:space="preserve">, vida </w:t>
      </w:r>
      <w:r w:rsidR="0002273B">
        <w:rPr>
          <w:rFonts w:cstheme="minorHAnsi"/>
          <w:sz w:val="20"/>
          <w:szCs w:val="20"/>
        </w:rPr>
        <w:t>“Psicológica e E</w:t>
      </w:r>
      <w:r w:rsidRPr="005441BB">
        <w:rPr>
          <w:rFonts w:cstheme="minorHAnsi"/>
          <w:sz w:val="20"/>
          <w:szCs w:val="20"/>
        </w:rPr>
        <w:t>spiritual</w:t>
      </w:r>
      <w:r w:rsidR="0002273B">
        <w:rPr>
          <w:rFonts w:cstheme="minorHAnsi"/>
          <w:sz w:val="20"/>
          <w:szCs w:val="20"/>
        </w:rPr>
        <w:t>”</w:t>
      </w:r>
      <w:r w:rsidRPr="005441BB">
        <w:rPr>
          <w:rFonts w:cstheme="minorHAnsi"/>
          <w:sz w:val="20"/>
          <w:szCs w:val="20"/>
        </w:rPr>
        <w:t xml:space="preserve">, vida </w:t>
      </w:r>
      <w:r w:rsidR="0002273B">
        <w:rPr>
          <w:rFonts w:cstheme="minorHAnsi"/>
          <w:sz w:val="20"/>
          <w:szCs w:val="20"/>
        </w:rPr>
        <w:t>“F</w:t>
      </w:r>
      <w:r w:rsidRPr="005441BB">
        <w:rPr>
          <w:rFonts w:cstheme="minorHAnsi"/>
          <w:sz w:val="20"/>
          <w:szCs w:val="20"/>
        </w:rPr>
        <w:t>amiliar</w:t>
      </w:r>
      <w:r w:rsidR="0002273B">
        <w:rPr>
          <w:rFonts w:cstheme="minorHAnsi"/>
          <w:sz w:val="20"/>
          <w:szCs w:val="20"/>
        </w:rPr>
        <w:t>”</w:t>
      </w:r>
      <w:r w:rsidRPr="005441BB">
        <w:rPr>
          <w:rFonts w:cstheme="minorHAnsi"/>
          <w:sz w:val="20"/>
          <w:szCs w:val="20"/>
        </w:rPr>
        <w:t xml:space="preserve">, e ainda a perceção de </w:t>
      </w:r>
      <w:r w:rsidR="00311354" w:rsidRPr="00311354">
        <w:rPr>
          <w:rFonts w:cstheme="minorHAnsi"/>
          <w:sz w:val="20"/>
          <w:szCs w:val="20"/>
        </w:rPr>
        <w:t>“QV Global”</w:t>
      </w:r>
      <w:r w:rsidRPr="005441BB">
        <w:rPr>
          <w:rFonts w:cstheme="minorHAnsi"/>
          <w:sz w:val="20"/>
          <w:szCs w:val="20"/>
        </w:rPr>
        <w:t xml:space="preserve">, com médias superiores para os primeiros. De salientar que a diferença entre as médias é </w:t>
      </w:r>
      <w:r w:rsidR="003F47C8">
        <w:rPr>
          <w:rFonts w:cstheme="minorHAnsi"/>
          <w:sz w:val="20"/>
          <w:szCs w:val="20"/>
        </w:rPr>
        <w:t>maior</w:t>
      </w:r>
      <w:r w:rsidRPr="005441BB">
        <w:rPr>
          <w:rFonts w:cstheme="minorHAnsi"/>
          <w:sz w:val="20"/>
          <w:szCs w:val="20"/>
        </w:rPr>
        <w:t xml:space="preserve"> na </w:t>
      </w:r>
      <w:proofErr w:type="spellStart"/>
      <w:r w:rsidRPr="005441BB">
        <w:rPr>
          <w:rFonts w:cstheme="minorHAnsi"/>
          <w:sz w:val="20"/>
          <w:szCs w:val="20"/>
        </w:rPr>
        <w:t>subscala</w:t>
      </w:r>
      <w:proofErr w:type="spellEnd"/>
      <w:r w:rsidRPr="005441BB">
        <w:rPr>
          <w:rFonts w:cstheme="minorHAnsi"/>
          <w:sz w:val="20"/>
          <w:szCs w:val="20"/>
        </w:rPr>
        <w:t xml:space="preserve"> </w:t>
      </w:r>
      <w:r w:rsidR="0002273B">
        <w:rPr>
          <w:rFonts w:cstheme="minorHAnsi"/>
          <w:sz w:val="20"/>
          <w:szCs w:val="20"/>
        </w:rPr>
        <w:t>“Psicológica e E</w:t>
      </w:r>
      <w:r w:rsidRPr="005441BB">
        <w:rPr>
          <w:rFonts w:cstheme="minorHAnsi"/>
          <w:sz w:val="20"/>
          <w:szCs w:val="20"/>
        </w:rPr>
        <w:t>spiritual</w:t>
      </w:r>
      <w:r w:rsidR="0002273B">
        <w:rPr>
          <w:rFonts w:cstheme="minorHAnsi"/>
          <w:sz w:val="20"/>
          <w:szCs w:val="20"/>
        </w:rPr>
        <w:t>”</w:t>
      </w:r>
      <w:r w:rsidRPr="005441BB">
        <w:rPr>
          <w:rFonts w:cstheme="minorHAnsi"/>
          <w:sz w:val="20"/>
          <w:szCs w:val="20"/>
        </w:rPr>
        <w:t>.</w:t>
      </w:r>
    </w:p>
    <w:p w:rsidR="00E17021" w:rsidRPr="005441BB" w:rsidRDefault="00E17021" w:rsidP="005441BB">
      <w:pPr>
        <w:pStyle w:val="Nivel4-Cap"/>
        <w:ind w:left="360"/>
        <w:rPr>
          <w:rFonts w:asciiTheme="minorHAnsi" w:hAnsiTheme="minorHAnsi" w:cstheme="minorHAnsi"/>
          <w:sz w:val="20"/>
          <w:szCs w:val="20"/>
        </w:rPr>
      </w:pPr>
      <w:bookmarkStart w:id="29" w:name="_Toc338761986"/>
      <w:bookmarkStart w:id="30" w:name="_Toc338762135"/>
      <w:bookmarkStart w:id="31" w:name="_Toc338762497"/>
      <w:bookmarkStart w:id="32" w:name="_Toc338762716"/>
      <w:bookmarkStart w:id="33" w:name="_Toc338779018"/>
    </w:p>
    <w:p w:rsidR="00E17021" w:rsidRPr="00EB40C4" w:rsidRDefault="00E17021" w:rsidP="00EB40C4">
      <w:pPr>
        <w:pStyle w:val="PargrafodaLista"/>
        <w:numPr>
          <w:ilvl w:val="0"/>
          <w:numId w:val="9"/>
        </w:numPr>
        <w:spacing w:after="0" w:line="360" w:lineRule="auto"/>
        <w:ind w:left="567" w:hanging="207"/>
        <w:rPr>
          <w:rFonts w:cstheme="minorHAnsi"/>
          <w:i/>
          <w:sz w:val="20"/>
          <w:szCs w:val="20"/>
        </w:rPr>
      </w:pPr>
      <w:r w:rsidRPr="00EB40C4">
        <w:rPr>
          <w:rFonts w:cstheme="minorHAnsi"/>
          <w:i/>
          <w:sz w:val="20"/>
          <w:szCs w:val="20"/>
        </w:rPr>
        <w:t>Idade e escolaridade</w:t>
      </w:r>
      <w:bookmarkEnd w:id="29"/>
      <w:bookmarkEnd w:id="30"/>
      <w:bookmarkEnd w:id="31"/>
      <w:bookmarkEnd w:id="32"/>
      <w:bookmarkEnd w:id="33"/>
    </w:p>
    <w:p w:rsidR="00E17021" w:rsidRPr="005441BB" w:rsidRDefault="00E17021" w:rsidP="005441BB">
      <w:pPr>
        <w:spacing w:after="0" w:line="360" w:lineRule="auto"/>
        <w:ind w:left="360"/>
        <w:rPr>
          <w:rFonts w:cstheme="minorHAnsi"/>
          <w:sz w:val="20"/>
          <w:szCs w:val="20"/>
        </w:rPr>
      </w:pPr>
      <w:r w:rsidRPr="005441BB">
        <w:rPr>
          <w:rFonts w:cstheme="minorHAnsi"/>
          <w:sz w:val="20"/>
          <w:szCs w:val="20"/>
        </w:rPr>
        <w:t xml:space="preserve">Os resultados permitem-nos concluir que a idade se correlaciona, de forma positiva, </w:t>
      </w:r>
      <w:proofErr w:type="gramStart"/>
      <w:r w:rsidRPr="005441BB">
        <w:rPr>
          <w:rFonts w:cstheme="minorHAnsi"/>
          <w:sz w:val="20"/>
          <w:szCs w:val="20"/>
        </w:rPr>
        <w:t>fraca</w:t>
      </w:r>
      <w:proofErr w:type="gramEnd"/>
      <w:r w:rsidRPr="005441BB">
        <w:rPr>
          <w:rFonts w:cstheme="minorHAnsi"/>
          <w:sz w:val="20"/>
          <w:szCs w:val="20"/>
        </w:rPr>
        <w:t xml:space="preserve"> mas significativa (</w:t>
      </w:r>
      <w:r w:rsidR="0002273B" w:rsidRPr="00EB6142">
        <w:rPr>
          <w:rFonts w:cstheme="minorHAnsi"/>
          <w:i/>
          <w:sz w:val="20"/>
          <w:szCs w:val="20"/>
        </w:rPr>
        <w:t>r=0,20; p&lt;0,05</w:t>
      </w:r>
      <w:r w:rsidR="0002273B">
        <w:rPr>
          <w:rFonts w:cstheme="minorHAnsi"/>
          <w:sz w:val="20"/>
          <w:szCs w:val="20"/>
        </w:rPr>
        <w:t xml:space="preserve">) com a </w:t>
      </w:r>
      <w:proofErr w:type="spellStart"/>
      <w:r w:rsidR="0002273B">
        <w:rPr>
          <w:rFonts w:cstheme="minorHAnsi"/>
          <w:sz w:val="20"/>
          <w:szCs w:val="20"/>
        </w:rPr>
        <w:t>subscala</w:t>
      </w:r>
      <w:proofErr w:type="spellEnd"/>
      <w:r w:rsidR="0002273B">
        <w:rPr>
          <w:rFonts w:cstheme="minorHAnsi"/>
          <w:sz w:val="20"/>
          <w:szCs w:val="20"/>
        </w:rPr>
        <w:t xml:space="preserve"> “F</w:t>
      </w:r>
      <w:r w:rsidRPr="005441BB">
        <w:rPr>
          <w:rFonts w:cstheme="minorHAnsi"/>
          <w:sz w:val="20"/>
          <w:szCs w:val="20"/>
        </w:rPr>
        <w:t>amiliar</w:t>
      </w:r>
      <w:r w:rsidR="0002273B">
        <w:rPr>
          <w:rFonts w:cstheme="minorHAnsi"/>
          <w:sz w:val="20"/>
          <w:szCs w:val="20"/>
        </w:rPr>
        <w:t>”</w:t>
      </w:r>
      <w:r w:rsidRPr="005441BB">
        <w:rPr>
          <w:rFonts w:cstheme="minorHAnsi"/>
          <w:sz w:val="20"/>
          <w:szCs w:val="20"/>
        </w:rPr>
        <w:t>, indica</w:t>
      </w:r>
      <w:r w:rsidR="0002273B">
        <w:rPr>
          <w:rFonts w:cstheme="minorHAnsi"/>
          <w:sz w:val="20"/>
          <w:szCs w:val="20"/>
        </w:rPr>
        <w:t>ndo</w:t>
      </w:r>
      <w:r w:rsidRPr="005441BB">
        <w:rPr>
          <w:rFonts w:cstheme="minorHAnsi"/>
          <w:sz w:val="20"/>
          <w:szCs w:val="20"/>
        </w:rPr>
        <w:t xml:space="preserve"> que </w:t>
      </w:r>
      <w:r w:rsidR="0001519E">
        <w:rPr>
          <w:rFonts w:cstheme="minorHAnsi"/>
          <w:sz w:val="20"/>
          <w:szCs w:val="20"/>
        </w:rPr>
        <w:t xml:space="preserve">as pessoas </w:t>
      </w:r>
      <w:r w:rsidR="0002273B">
        <w:rPr>
          <w:rFonts w:cstheme="minorHAnsi"/>
          <w:sz w:val="20"/>
          <w:szCs w:val="20"/>
        </w:rPr>
        <w:t>mais velhas</w:t>
      </w:r>
      <w:r w:rsidRPr="005441BB">
        <w:rPr>
          <w:rFonts w:cstheme="minorHAnsi"/>
          <w:sz w:val="20"/>
          <w:szCs w:val="20"/>
        </w:rPr>
        <w:t xml:space="preserve"> apresentam </w:t>
      </w:r>
      <w:r w:rsidR="0001519E">
        <w:rPr>
          <w:rFonts w:cstheme="minorHAnsi"/>
          <w:sz w:val="20"/>
          <w:szCs w:val="20"/>
        </w:rPr>
        <w:t>maior satisfação com a família</w:t>
      </w:r>
      <w:r w:rsidRPr="005441BB">
        <w:rPr>
          <w:rFonts w:cstheme="minorHAnsi"/>
          <w:sz w:val="20"/>
          <w:szCs w:val="20"/>
        </w:rPr>
        <w:t xml:space="preserve">. </w:t>
      </w:r>
    </w:p>
    <w:p w:rsidR="00E17021" w:rsidRPr="005441BB" w:rsidRDefault="00E17021" w:rsidP="005441BB">
      <w:pPr>
        <w:spacing w:after="0" w:line="360" w:lineRule="auto"/>
        <w:ind w:left="360"/>
        <w:rPr>
          <w:rFonts w:cstheme="minorHAnsi"/>
          <w:sz w:val="20"/>
          <w:szCs w:val="20"/>
        </w:rPr>
      </w:pPr>
      <w:r w:rsidRPr="005441BB">
        <w:rPr>
          <w:rFonts w:cstheme="minorHAnsi"/>
          <w:sz w:val="20"/>
          <w:szCs w:val="20"/>
        </w:rPr>
        <w:t xml:space="preserve">Em sentido oposto, a escolaridade correlaciona-se de forma negativa, fraca, mas significativa, com a </w:t>
      </w:r>
      <w:proofErr w:type="spellStart"/>
      <w:r w:rsidRPr="005441BB">
        <w:rPr>
          <w:rFonts w:cstheme="minorHAnsi"/>
          <w:sz w:val="20"/>
          <w:szCs w:val="20"/>
        </w:rPr>
        <w:t>subscala</w:t>
      </w:r>
      <w:proofErr w:type="spellEnd"/>
      <w:r w:rsidRPr="005441BB">
        <w:rPr>
          <w:rFonts w:cstheme="minorHAnsi"/>
          <w:sz w:val="20"/>
          <w:szCs w:val="20"/>
        </w:rPr>
        <w:t xml:space="preserve"> </w:t>
      </w:r>
      <w:r w:rsidR="007152CF">
        <w:rPr>
          <w:rFonts w:cstheme="minorHAnsi"/>
          <w:sz w:val="20"/>
          <w:szCs w:val="20"/>
        </w:rPr>
        <w:t>“Psicológica e E</w:t>
      </w:r>
      <w:r w:rsidRPr="005441BB">
        <w:rPr>
          <w:rFonts w:cstheme="minorHAnsi"/>
          <w:sz w:val="20"/>
          <w:szCs w:val="20"/>
        </w:rPr>
        <w:t>spiritual</w:t>
      </w:r>
      <w:r w:rsidR="007152CF">
        <w:rPr>
          <w:rFonts w:cstheme="minorHAnsi"/>
          <w:sz w:val="20"/>
          <w:szCs w:val="20"/>
        </w:rPr>
        <w:t>”</w:t>
      </w:r>
      <w:r w:rsidRPr="005441BB">
        <w:rPr>
          <w:rFonts w:cstheme="minorHAnsi"/>
          <w:sz w:val="20"/>
          <w:szCs w:val="20"/>
        </w:rPr>
        <w:t xml:space="preserve"> (</w:t>
      </w:r>
      <w:r w:rsidRPr="00EB6142">
        <w:rPr>
          <w:rFonts w:cstheme="minorHAnsi"/>
          <w:i/>
          <w:sz w:val="20"/>
          <w:szCs w:val="20"/>
        </w:rPr>
        <w:t>r=-0,22; p&lt;0,05</w:t>
      </w:r>
      <w:r w:rsidRPr="005441BB">
        <w:rPr>
          <w:rFonts w:cstheme="minorHAnsi"/>
          <w:sz w:val="20"/>
          <w:szCs w:val="20"/>
        </w:rPr>
        <w:t xml:space="preserve">), indicando que quanto maior é o grau de escolaridade </w:t>
      </w:r>
      <w:r w:rsidR="0001519E">
        <w:rPr>
          <w:rFonts w:cstheme="minorHAnsi"/>
          <w:sz w:val="20"/>
          <w:szCs w:val="20"/>
        </w:rPr>
        <w:t>da amostra</w:t>
      </w:r>
      <w:r w:rsidRPr="005441BB">
        <w:rPr>
          <w:rFonts w:cstheme="minorHAnsi"/>
          <w:sz w:val="20"/>
          <w:szCs w:val="20"/>
        </w:rPr>
        <w:t xml:space="preserve">, menos satisfeitos eles se apresentam com estas dimensões da sua vida. </w:t>
      </w:r>
    </w:p>
    <w:p w:rsidR="00E17021" w:rsidRPr="005441BB" w:rsidRDefault="00E17021" w:rsidP="005441BB">
      <w:pPr>
        <w:pStyle w:val="Nivel4-Cap"/>
        <w:ind w:left="360"/>
        <w:rPr>
          <w:rFonts w:asciiTheme="minorHAnsi" w:hAnsiTheme="minorHAnsi" w:cstheme="minorHAnsi"/>
          <w:sz w:val="20"/>
          <w:szCs w:val="20"/>
        </w:rPr>
      </w:pPr>
      <w:bookmarkStart w:id="34" w:name="_Toc338761987"/>
      <w:bookmarkStart w:id="35" w:name="_Toc338762136"/>
      <w:bookmarkStart w:id="36" w:name="_Toc338762498"/>
      <w:bookmarkStart w:id="37" w:name="_Toc338762717"/>
      <w:bookmarkStart w:id="38" w:name="_Toc338779019"/>
    </w:p>
    <w:p w:rsidR="00E17021" w:rsidRPr="00EB40C4" w:rsidRDefault="00E17021" w:rsidP="00EB40C4">
      <w:pPr>
        <w:pStyle w:val="PargrafodaLista"/>
        <w:numPr>
          <w:ilvl w:val="0"/>
          <w:numId w:val="9"/>
        </w:numPr>
        <w:spacing w:after="0" w:line="360" w:lineRule="auto"/>
        <w:ind w:left="567" w:hanging="207"/>
        <w:rPr>
          <w:rFonts w:cstheme="minorHAnsi"/>
          <w:i/>
          <w:sz w:val="20"/>
          <w:szCs w:val="20"/>
        </w:rPr>
      </w:pPr>
      <w:r w:rsidRPr="00EB40C4">
        <w:rPr>
          <w:rFonts w:cstheme="minorHAnsi"/>
          <w:i/>
          <w:sz w:val="20"/>
          <w:szCs w:val="20"/>
        </w:rPr>
        <w:t>Situação profissional</w:t>
      </w:r>
      <w:bookmarkEnd w:id="34"/>
      <w:bookmarkEnd w:id="35"/>
      <w:bookmarkEnd w:id="36"/>
      <w:bookmarkEnd w:id="37"/>
      <w:bookmarkEnd w:id="38"/>
    </w:p>
    <w:p w:rsidR="00E17021" w:rsidRPr="005441BB" w:rsidRDefault="0001519E" w:rsidP="005441BB">
      <w:pPr>
        <w:spacing w:after="0" w:line="360" w:lineRule="auto"/>
        <w:ind w:left="360"/>
        <w:rPr>
          <w:rFonts w:cstheme="minorHAnsi"/>
          <w:sz w:val="20"/>
          <w:szCs w:val="20"/>
        </w:rPr>
      </w:pPr>
      <w:r>
        <w:rPr>
          <w:rFonts w:cstheme="minorHAnsi"/>
          <w:sz w:val="20"/>
          <w:szCs w:val="20"/>
        </w:rPr>
        <w:t>A</w:t>
      </w:r>
      <w:r w:rsidR="00E17021" w:rsidRPr="005441BB">
        <w:rPr>
          <w:rFonts w:cstheme="minorHAnsi"/>
          <w:sz w:val="20"/>
          <w:szCs w:val="20"/>
        </w:rPr>
        <w:t xml:space="preserve"> diferença entre as médias dos grupos, de acordo com a situação profissional, </w:t>
      </w:r>
      <w:r>
        <w:rPr>
          <w:rFonts w:cstheme="minorHAnsi"/>
          <w:sz w:val="20"/>
          <w:szCs w:val="20"/>
        </w:rPr>
        <w:t>mostrou-se</w:t>
      </w:r>
      <w:r w:rsidR="007152CF">
        <w:rPr>
          <w:rFonts w:cstheme="minorHAnsi"/>
          <w:sz w:val="20"/>
          <w:szCs w:val="20"/>
        </w:rPr>
        <w:t xml:space="preserve"> significativa para a </w:t>
      </w:r>
      <w:proofErr w:type="spellStart"/>
      <w:r w:rsidR="007152CF">
        <w:rPr>
          <w:rFonts w:cstheme="minorHAnsi"/>
          <w:sz w:val="20"/>
          <w:szCs w:val="20"/>
        </w:rPr>
        <w:t>subscala</w:t>
      </w:r>
      <w:proofErr w:type="spellEnd"/>
      <w:r w:rsidR="007152CF">
        <w:rPr>
          <w:rFonts w:cstheme="minorHAnsi"/>
          <w:sz w:val="20"/>
          <w:szCs w:val="20"/>
        </w:rPr>
        <w:t xml:space="preserve"> “F</w:t>
      </w:r>
      <w:r w:rsidR="00E17021" w:rsidRPr="005441BB">
        <w:rPr>
          <w:rFonts w:cstheme="minorHAnsi"/>
          <w:sz w:val="20"/>
          <w:szCs w:val="20"/>
        </w:rPr>
        <w:t>amiliar</w:t>
      </w:r>
      <w:r w:rsidR="007152CF">
        <w:rPr>
          <w:rFonts w:cstheme="minorHAnsi"/>
          <w:sz w:val="20"/>
          <w:szCs w:val="20"/>
        </w:rPr>
        <w:t>”</w:t>
      </w:r>
      <w:r w:rsidR="00E17021" w:rsidRPr="005441BB">
        <w:rPr>
          <w:rFonts w:cstheme="minorHAnsi"/>
          <w:sz w:val="20"/>
          <w:szCs w:val="20"/>
        </w:rPr>
        <w:t xml:space="preserve"> (</w:t>
      </w:r>
      <w:r w:rsidR="00E17021" w:rsidRPr="00EB6142">
        <w:rPr>
          <w:rFonts w:cstheme="minorHAnsi"/>
          <w:i/>
          <w:sz w:val="20"/>
          <w:szCs w:val="20"/>
        </w:rPr>
        <w:t>F=3,25; p&lt;0,05</w:t>
      </w:r>
      <w:r w:rsidR="00E17021" w:rsidRPr="005441BB">
        <w:rPr>
          <w:rFonts w:cstheme="minorHAnsi"/>
          <w:sz w:val="20"/>
          <w:szCs w:val="20"/>
        </w:rPr>
        <w:t xml:space="preserve">), para a </w:t>
      </w:r>
      <w:proofErr w:type="spellStart"/>
      <w:r w:rsidR="007152CF">
        <w:rPr>
          <w:rFonts w:cstheme="minorHAnsi"/>
          <w:sz w:val="20"/>
          <w:szCs w:val="20"/>
        </w:rPr>
        <w:t>subscala</w:t>
      </w:r>
      <w:proofErr w:type="spellEnd"/>
      <w:r w:rsidR="007152CF">
        <w:rPr>
          <w:rFonts w:cstheme="minorHAnsi"/>
          <w:sz w:val="20"/>
          <w:szCs w:val="20"/>
        </w:rPr>
        <w:t xml:space="preserve"> “Social e E</w:t>
      </w:r>
      <w:r w:rsidR="00E17021" w:rsidRPr="005441BB">
        <w:rPr>
          <w:rFonts w:cstheme="minorHAnsi"/>
          <w:sz w:val="20"/>
          <w:szCs w:val="20"/>
        </w:rPr>
        <w:t>conómica</w:t>
      </w:r>
      <w:r w:rsidR="007152CF">
        <w:rPr>
          <w:rFonts w:cstheme="minorHAnsi"/>
          <w:sz w:val="20"/>
          <w:szCs w:val="20"/>
        </w:rPr>
        <w:t>”</w:t>
      </w:r>
      <w:r w:rsidR="00E17021" w:rsidRPr="005441BB">
        <w:rPr>
          <w:rFonts w:cstheme="minorHAnsi"/>
          <w:sz w:val="20"/>
          <w:szCs w:val="20"/>
        </w:rPr>
        <w:t xml:space="preserve"> (</w:t>
      </w:r>
      <w:r w:rsidR="00E17021" w:rsidRPr="00EB6142">
        <w:rPr>
          <w:rFonts w:cstheme="minorHAnsi"/>
          <w:i/>
          <w:sz w:val="20"/>
          <w:szCs w:val="20"/>
        </w:rPr>
        <w:t>F=17,91; p&lt;0,0001</w:t>
      </w:r>
      <w:r w:rsidR="00E17021" w:rsidRPr="005441BB">
        <w:rPr>
          <w:rFonts w:cstheme="minorHAnsi"/>
          <w:sz w:val="20"/>
          <w:szCs w:val="20"/>
        </w:rPr>
        <w:t xml:space="preserve">) e ainda para a </w:t>
      </w:r>
      <w:r w:rsidR="00311354">
        <w:rPr>
          <w:rFonts w:cstheme="minorHAnsi"/>
          <w:sz w:val="20"/>
          <w:szCs w:val="20"/>
        </w:rPr>
        <w:t>“QV G</w:t>
      </w:r>
      <w:r w:rsidR="00311354" w:rsidRPr="005441BB">
        <w:rPr>
          <w:rFonts w:cstheme="minorHAnsi"/>
          <w:sz w:val="20"/>
          <w:szCs w:val="20"/>
        </w:rPr>
        <w:t>lobal</w:t>
      </w:r>
      <w:r w:rsidR="00311354">
        <w:rPr>
          <w:rFonts w:cstheme="minorHAnsi"/>
          <w:sz w:val="20"/>
          <w:szCs w:val="20"/>
        </w:rPr>
        <w:t>”</w:t>
      </w:r>
      <w:r w:rsidR="00311354" w:rsidRPr="005441BB">
        <w:rPr>
          <w:rFonts w:cstheme="minorHAnsi"/>
          <w:sz w:val="20"/>
          <w:szCs w:val="20"/>
        </w:rPr>
        <w:t xml:space="preserve"> </w:t>
      </w:r>
      <w:r w:rsidR="00E17021" w:rsidRPr="005441BB">
        <w:rPr>
          <w:rFonts w:cstheme="minorHAnsi"/>
          <w:sz w:val="20"/>
          <w:szCs w:val="20"/>
        </w:rPr>
        <w:t>(</w:t>
      </w:r>
      <w:r w:rsidR="00E17021" w:rsidRPr="00EB6142">
        <w:rPr>
          <w:rFonts w:cstheme="minorHAnsi"/>
          <w:i/>
          <w:sz w:val="20"/>
          <w:szCs w:val="20"/>
        </w:rPr>
        <w:t>F=4,32; p&lt;0,01</w:t>
      </w:r>
      <w:r w:rsidR="00E17021" w:rsidRPr="005441BB">
        <w:rPr>
          <w:rFonts w:cstheme="minorHAnsi"/>
          <w:sz w:val="20"/>
          <w:szCs w:val="20"/>
        </w:rPr>
        <w:t xml:space="preserve">). De acordo com o </w:t>
      </w:r>
      <w:proofErr w:type="spellStart"/>
      <w:r w:rsidR="00E17021" w:rsidRPr="005441BB">
        <w:rPr>
          <w:rFonts w:cstheme="minorHAnsi"/>
          <w:i/>
          <w:sz w:val="20"/>
          <w:szCs w:val="20"/>
        </w:rPr>
        <w:t>post</w:t>
      </w:r>
      <w:proofErr w:type="spellEnd"/>
      <w:r w:rsidR="00E17021" w:rsidRPr="005441BB">
        <w:rPr>
          <w:rFonts w:cstheme="minorHAnsi"/>
          <w:i/>
          <w:sz w:val="20"/>
          <w:szCs w:val="20"/>
        </w:rPr>
        <w:t xml:space="preserve"> hoc teste de </w:t>
      </w:r>
      <w:proofErr w:type="spellStart"/>
      <w:r w:rsidR="00E17021" w:rsidRPr="005441BB">
        <w:rPr>
          <w:rFonts w:cstheme="minorHAnsi"/>
          <w:i/>
          <w:sz w:val="20"/>
          <w:szCs w:val="20"/>
        </w:rPr>
        <w:t>scheffe</w:t>
      </w:r>
      <w:proofErr w:type="spellEnd"/>
      <w:r w:rsidR="00E17021" w:rsidRPr="005441BB">
        <w:rPr>
          <w:rFonts w:cstheme="minorHAnsi"/>
          <w:i/>
          <w:sz w:val="20"/>
          <w:szCs w:val="20"/>
        </w:rPr>
        <w:t xml:space="preserve">, </w:t>
      </w:r>
      <w:r w:rsidR="00E17021" w:rsidRPr="005441BB">
        <w:rPr>
          <w:rFonts w:cstheme="minorHAnsi"/>
          <w:sz w:val="20"/>
          <w:szCs w:val="20"/>
        </w:rPr>
        <w:t>as diferenças situam-se entre o grupo dos “</w:t>
      </w:r>
      <w:r w:rsidR="00E17021" w:rsidRPr="005441BB">
        <w:rPr>
          <w:rFonts w:cstheme="minorHAnsi"/>
          <w:i/>
          <w:sz w:val="20"/>
          <w:szCs w:val="20"/>
        </w:rPr>
        <w:t>desempregados e reformados</w:t>
      </w:r>
      <w:r w:rsidR="00E17021" w:rsidRPr="005441BB">
        <w:rPr>
          <w:rFonts w:cstheme="minorHAnsi"/>
          <w:sz w:val="20"/>
          <w:szCs w:val="20"/>
        </w:rPr>
        <w:t>” e o grupo dos “</w:t>
      </w:r>
      <w:r w:rsidR="00E17021" w:rsidRPr="005441BB">
        <w:rPr>
          <w:rFonts w:cstheme="minorHAnsi"/>
          <w:i/>
          <w:sz w:val="20"/>
          <w:szCs w:val="20"/>
        </w:rPr>
        <w:t>empregados a tempo total</w:t>
      </w:r>
      <w:r w:rsidR="00E17021" w:rsidRPr="005441BB">
        <w:rPr>
          <w:rFonts w:cstheme="minorHAnsi"/>
          <w:sz w:val="20"/>
          <w:szCs w:val="20"/>
        </w:rPr>
        <w:t>”, com prejuízo para os primeiros.</w:t>
      </w:r>
    </w:p>
    <w:p w:rsidR="00E17021" w:rsidRPr="005441BB" w:rsidRDefault="00E17021" w:rsidP="005441BB">
      <w:pPr>
        <w:spacing w:after="0" w:line="360" w:lineRule="auto"/>
        <w:ind w:left="360"/>
        <w:rPr>
          <w:rFonts w:cstheme="minorHAnsi"/>
          <w:b/>
          <w:sz w:val="20"/>
          <w:szCs w:val="20"/>
        </w:rPr>
      </w:pPr>
      <w:bookmarkStart w:id="39" w:name="_Toc338761988"/>
      <w:bookmarkStart w:id="40" w:name="_Toc338762137"/>
      <w:bookmarkStart w:id="41" w:name="_Toc338762499"/>
      <w:bookmarkStart w:id="42" w:name="_Toc338762718"/>
      <w:bookmarkStart w:id="43" w:name="_Toc338779020"/>
    </w:p>
    <w:p w:rsidR="00E17021" w:rsidRPr="00EB40C4" w:rsidRDefault="00E17021" w:rsidP="00EB40C4">
      <w:pPr>
        <w:pStyle w:val="PargrafodaLista"/>
        <w:numPr>
          <w:ilvl w:val="0"/>
          <w:numId w:val="9"/>
        </w:numPr>
        <w:spacing w:after="0" w:line="360" w:lineRule="auto"/>
        <w:ind w:left="567" w:hanging="207"/>
        <w:rPr>
          <w:rFonts w:cstheme="minorHAnsi"/>
          <w:i/>
          <w:sz w:val="20"/>
          <w:szCs w:val="20"/>
        </w:rPr>
      </w:pPr>
      <w:r w:rsidRPr="00EB40C4">
        <w:rPr>
          <w:rFonts w:cstheme="minorHAnsi"/>
          <w:i/>
          <w:sz w:val="20"/>
          <w:szCs w:val="20"/>
        </w:rPr>
        <w:t>Coabitação</w:t>
      </w:r>
      <w:bookmarkEnd w:id="39"/>
      <w:bookmarkEnd w:id="40"/>
      <w:bookmarkEnd w:id="41"/>
      <w:bookmarkEnd w:id="42"/>
      <w:bookmarkEnd w:id="43"/>
    </w:p>
    <w:p w:rsidR="00E17021" w:rsidRPr="005441BB" w:rsidRDefault="00E17021" w:rsidP="005441BB">
      <w:pPr>
        <w:spacing w:after="0" w:line="360" w:lineRule="auto"/>
        <w:ind w:left="360"/>
        <w:rPr>
          <w:rFonts w:cstheme="minorHAnsi"/>
          <w:sz w:val="20"/>
          <w:szCs w:val="20"/>
        </w:rPr>
      </w:pPr>
      <w:r w:rsidRPr="005441BB">
        <w:rPr>
          <w:rFonts w:cstheme="minorHAnsi"/>
          <w:sz w:val="20"/>
          <w:szCs w:val="20"/>
        </w:rPr>
        <w:t>Também a coabitação mostrou interferir na forma como a pessoa dependente de drogas perceciona a sua QV</w:t>
      </w:r>
      <w:r w:rsidR="0001519E">
        <w:rPr>
          <w:rFonts w:cstheme="minorHAnsi"/>
          <w:sz w:val="20"/>
          <w:szCs w:val="20"/>
        </w:rPr>
        <w:t xml:space="preserve">, sendo as </w:t>
      </w:r>
      <w:r w:rsidRPr="005441BB">
        <w:rPr>
          <w:rFonts w:cstheme="minorHAnsi"/>
          <w:sz w:val="20"/>
          <w:szCs w:val="20"/>
        </w:rPr>
        <w:t>diferenças estat</w:t>
      </w:r>
      <w:r w:rsidR="0001519E">
        <w:rPr>
          <w:rFonts w:cstheme="minorHAnsi"/>
          <w:sz w:val="20"/>
          <w:szCs w:val="20"/>
        </w:rPr>
        <w:t>isticamente significativas</w:t>
      </w:r>
      <w:r w:rsidR="007152CF">
        <w:rPr>
          <w:rFonts w:cstheme="minorHAnsi"/>
          <w:sz w:val="20"/>
          <w:szCs w:val="20"/>
        </w:rPr>
        <w:t xml:space="preserve"> encontradas nas </w:t>
      </w:r>
      <w:proofErr w:type="spellStart"/>
      <w:r w:rsidR="007152CF">
        <w:rPr>
          <w:rFonts w:cstheme="minorHAnsi"/>
          <w:sz w:val="20"/>
          <w:szCs w:val="20"/>
        </w:rPr>
        <w:t>subscalas</w:t>
      </w:r>
      <w:proofErr w:type="spellEnd"/>
      <w:r w:rsidR="007152CF">
        <w:rPr>
          <w:rFonts w:cstheme="minorHAnsi"/>
          <w:sz w:val="20"/>
          <w:szCs w:val="20"/>
        </w:rPr>
        <w:t xml:space="preserve"> “Saúde e F</w:t>
      </w:r>
      <w:r w:rsidRPr="005441BB">
        <w:rPr>
          <w:rFonts w:cstheme="minorHAnsi"/>
          <w:sz w:val="20"/>
          <w:szCs w:val="20"/>
        </w:rPr>
        <w:t>uncionalidade</w:t>
      </w:r>
      <w:r w:rsidR="007152CF">
        <w:rPr>
          <w:rFonts w:cstheme="minorHAnsi"/>
          <w:sz w:val="20"/>
          <w:szCs w:val="20"/>
        </w:rPr>
        <w:t>”</w:t>
      </w:r>
      <w:r w:rsidRPr="005441BB">
        <w:rPr>
          <w:rFonts w:cstheme="minorHAnsi"/>
          <w:sz w:val="20"/>
          <w:szCs w:val="20"/>
        </w:rPr>
        <w:t xml:space="preserve"> (</w:t>
      </w:r>
      <w:r w:rsidRPr="00EB6142">
        <w:rPr>
          <w:rFonts w:cstheme="minorHAnsi"/>
          <w:i/>
          <w:sz w:val="20"/>
          <w:szCs w:val="20"/>
        </w:rPr>
        <w:t xml:space="preserve">F=3,09; </w:t>
      </w:r>
      <w:r w:rsidR="007152CF" w:rsidRPr="00EB6142">
        <w:rPr>
          <w:rFonts w:cstheme="minorHAnsi"/>
          <w:i/>
          <w:sz w:val="20"/>
          <w:szCs w:val="20"/>
        </w:rPr>
        <w:t>p&lt;0,05</w:t>
      </w:r>
      <w:r w:rsidR="007152CF">
        <w:rPr>
          <w:rFonts w:cstheme="minorHAnsi"/>
          <w:sz w:val="20"/>
          <w:szCs w:val="20"/>
        </w:rPr>
        <w:t>); “S</w:t>
      </w:r>
      <w:r w:rsidRPr="005441BB">
        <w:rPr>
          <w:rFonts w:cstheme="minorHAnsi"/>
          <w:sz w:val="20"/>
          <w:szCs w:val="20"/>
        </w:rPr>
        <w:t xml:space="preserve">ocial e </w:t>
      </w:r>
      <w:r w:rsidR="007152CF">
        <w:rPr>
          <w:rFonts w:cstheme="minorHAnsi"/>
          <w:sz w:val="20"/>
          <w:szCs w:val="20"/>
        </w:rPr>
        <w:t>E</w:t>
      </w:r>
      <w:r w:rsidRPr="005441BB">
        <w:rPr>
          <w:rFonts w:cstheme="minorHAnsi"/>
          <w:sz w:val="20"/>
          <w:szCs w:val="20"/>
        </w:rPr>
        <w:t>conómica</w:t>
      </w:r>
      <w:r w:rsidR="007152CF">
        <w:rPr>
          <w:rFonts w:cstheme="minorHAnsi"/>
          <w:sz w:val="20"/>
          <w:szCs w:val="20"/>
        </w:rPr>
        <w:t>”</w:t>
      </w:r>
      <w:r w:rsidRPr="005441BB">
        <w:rPr>
          <w:rFonts w:cstheme="minorHAnsi"/>
          <w:sz w:val="20"/>
          <w:szCs w:val="20"/>
        </w:rPr>
        <w:t xml:space="preserve"> (</w:t>
      </w:r>
      <w:r w:rsidRPr="00EB6142">
        <w:rPr>
          <w:rFonts w:cstheme="minorHAnsi"/>
          <w:i/>
          <w:sz w:val="20"/>
          <w:szCs w:val="20"/>
        </w:rPr>
        <w:t>F=4,94; p&lt;0,001</w:t>
      </w:r>
      <w:r w:rsidRPr="005441BB">
        <w:rPr>
          <w:rFonts w:cstheme="minorHAnsi"/>
          <w:sz w:val="20"/>
          <w:szCs w:val="20"/>
        </w:rPr>
        <w:t xml:space="preserve">); </w:t>
      </w:r>
      <w:r w:rsidR="007152CF">
        <w:rPr>
          <w:rFonts w:cstheme="minorHAnsi"/>
          <w:sz w:val="20"/>
          <w:szCs w:val="20"/>
        </w:rPr>
        <w:t>“Psicológica e E</w:t>
      </w:r>
      <w:r w:rsidRPr="005441BB">
        <w:rPr>
          <w:rFonts w:cstheme="minorHAnsi"/>
          <w:sz w:val="20"/>
          <w:szCs w:val="20"/>
        </w:rPr>
        <w:t>spiritual</w:t>
      </w:r>
      <w:r w:rsidR="007152CF">
        <w:rPr>
          <w:rFonts w:cstheme="minorHAnsi"/>
          <w:sz w:val="20"/>
          <w:szCs w:val="20"/>
        </w:rPr>
        <w:t>” (</w:t>
      </w:r>
      <w:r w:rsidR="007152CF" w:rsidRPr="00EB6142">
        <w:rPr>
          <w:rFonts w:cstheme="minorHAnsi"/>
          <w:i/>
          <w:sz w:val="20"/>
          <w:szCs w:val="20"/>
        </w:rPr>
        <w:t>F=3,12; p&lt;0,05</w:t>
      </w:r>
      <w:r w:rsidR="007152CF">
        <w:rPr>
          <w:rFonts w:cstheme="minorHAnsi"/>
          <w:sz w:val="20"/>
          <w:szCs w:val="20"/>
        </w:rPr>
        <w:t>); “F</w:t>
      </w:r>
      <w:r w:rsidRPr="005441BB">
        <w:rPr>
          <w:rFonts w:cstheme="minorHAnsi"/>
          <w:sz w:val="20"/>
          <w:szCs w:val="20"/>
        </w:rPr>
        <w:t>amiliar</w:t>
      </w:r>
      <w:r w:rsidR="007152CF">
        <w:rPr>
          <w:rFonts w:cstheme="minorHAnsi"/>
          <w:sz w:val="20"/>
          <w:szCs w:val="20"/>
        </w:rPr>
        <w:t>”</w:t>
      </w:r>
      <w:r w:rsidRPr="005441BB">
        <w:rPr>
          <w:rFonts w:cstheme="minorHAnsi"/>
          <w:sz w:val="20"/>
          <w:szCs w:val="20"/>
        </w:rPr>
        <w:t xml:space="preserve"> (</w:t>
      </w:r>
      <w:r w:rsidRPr="00EB6142">
        <w:rPr>
          <w:rFonts w:cstheme="minorHAnsi"/>
          <w:i/>
          <w:sz w:val="20"/>
          <w:szCs w:val="20"/>
        </w:rPr>
        <w:t>F=3,87; p&lt;0,0</w:t>
      </w:r>
      <w:r w:rsidRPr="005441BB">
        <w:rPr>
          <w:rFonts w:cstheme="minorHAnsi"/>
          <w:sz w:val="20"/>
          <w:szCs w:val="20"/>
        </w:rPr>
        <w:t xml:space="preserve">1); e </w:t>
      </w:r>
      <w:r w:rsidR="007152CF">
        <w:rPr>
          <w:rFonts w:cstheme="minorHAnsi"/>
          <w:sz w:val="20"/>
          <w:szCs w:val="20"/>
        </w:rPr>
        <w:t xml:space="preserve">para a </w:t>
      </w:r>
      <w:r w:rsidR="00311354">
        <w:rPr>
          <w:rFonts w:cstheme="minorHAnsi"/>
          <w:sz w:val="20"/>
          <w:szCs w:val="20"/>
        </w:rPr>
        <w:t>“QV G</w:t>
      </w:r>
      <w:r w:rsidR="00311354" w:rsidRPr="005441BB">
        <w:rPr>
          <w:rFonts w:cstheme="minorHAnsi"/>
          <w:sz w:val="20"/>
          <w:szCs w:val="20"/>
        </w:rPr>
        <w:t>lobal</w:t>
      </w:r>
      <w:r w:rsidR="00311354">
        <w:rPr>
          <w:rFonts w:cstheme="minorHAnsi"/>
          <w:sz w:val="20"/>
          <w:szCs w:val="20"/>
        </w:rPr>
        <w:t>”</w:t>
      </w:r>
      <w:r w:rsidR="00311354" w:rsidRPr="005441BB">
        <w:rPr>
          <w:rFonts w:cstheme="minorHAnsi"/>
          <w:sz w:val="20"/>
          <w:szCs w:val="20"/>
        </w:rPr>
        <w:t xml:space="preserve"> </w:t>
      </w:r>
      <w:r w:rsidRPr="005441BB">
        <w:rPr>
          <w:rFonts w:cstheme="minorHAnsi"/>
          <w:sz w:val="20"/>
          <w:szCs w:val="20"/>
        </w:rPr>
        <w:t>(</w:t>
      </w:r>
      <w:r w:rsidRPr="00EB6142">
        <w:rPr>
          <w:rFonts w:cstheme="minorHAnsi"/>
          <w:i/>
          <w:sz w:val="20"/>
          <w:szCs w:val="20"/>
        </w:rPr>
        <w:t>F=5,35; p&lt;0,001</w:t>
      </w:r>
      <w:r w:rsidRPr="005441BB">
        <w:rPr>
          <w:rFonts w:cstheme="minorHAnsi"/>
          <w:sz w:val="20"/>
          <w:szCs w:val="20"/>
        </w:rPr>
        <w:t xml:space="preserve">). O </w:t>
      </w:r>
      <w:proofErr w:type="spellStart"/>
      <w:r w:rsidRPr="005441BB">
        <w:rPr>
          <w:rFonts w:cstheme="minorHAnsi"/>
          <w:i/>
          <w:sz w:val="20"/>
          <w:szCs w:val="20"/>
        </w:rPr>
        <w:t>post</w:t>
      </w:r>
      <w:proofErr w:type="spellEnd"/>
      <w:r w:rsidRPr="005441BB">
        <w:rPr>
          <w:rFonts w:cstheme="minorHAnsi"/>
          <w:i/>
          <w:sz w:val="20"/>
          <w:szCs w:val="20"/>
        </w:rPr>
        <w:t xml:space="preserve"> hoc </w:t>
      </w:r>
      <w:r w:rsidRPr="005441BB">
        <w:rPr>
          <w:rFonts w:cstheme="minorHAnsi"/>
          <w:sz w:val="20"/>
          <w:szCs w:val="20"/>
        </w:rPr>
        <w:t>situa as diferenças entre os grupos de “</w:t>
      </w:r>
      <w:r w:rsidRPr="005441BB">
        <w:rPr>
          <w:rFonts w:cstheme="minorHAnsi"/>
          <w:i/>
          <w:sz w:val="20"/>
          <w:szCs w:val="20"/>
        </w:rPr>
        <w:t>família restrita</w:t>
      </w:r>
      <w:r w:rsidRPr="005441BB">
        <w:rPr>
          <w:rFonts w:cstheme="minorHAnsi"/>
          <w:sz w:val="20"/>
          <w:szCs w:val="20"/>
        </w:rPr>
        <w:t>” e “</w:t>
      </w:r>
      <w:r w:rsidRPr="005441BB">
        <w:rPr>
          <w:rFonts w:cstheme="minorHAnsi"/>
          <w:i/>
          <w:sz w:val="20"/>
          <w:szCs w:val="20"/>
        </w:rPr>
        <w:t>sozinho</w:t>
      </w:r>
      <w:r w:rsidRPr="005441BB">
        <w:rPr>
          <w:rFonts w:cstheme="minorHAnsi"/>
          <w:sz w:val="20"/>
          <w:szCs w:val="20"/>
        </w:rPr>
        <w:t xml:space="preserve">”, mais desfavorável </w:t>
      </w:r>
      <w:r w:rsidR="0001519E">
        <w:rPr>
          <w:rFonts w:cstheme="minorHAnsi"/>
          <w:sz w:val="20"/>
          <w:szCs w:val="20"/>
        </w:rPr>
        <w:t>para os</w:t>
      </w:r>
      <w:r w:rsidRPr="005441BB">
        <w:rPr>
          <w:rFonts w:cstheme="minorHAnsi"/>
          <w:sz w:val="20"/>
          <w:szCs w:val="20"/>
        </w:rPr>
        <w:t xml:space="preserve"> último</w:t>
      </w:r>
      <w:r w:rsidR="0001519E">
        <w:rPr>
          <w:rFonts w:cstheme="minorHAnsi"/>
          <w:sz w:val="20"/>
          <w:szCs w:val="20"/>
        </w:rPr>
        <w:t>s.</w:t>
      </w:r>
    </w:p>
    <w:p w:rsidR="00E17021" w:rsidRPr="005441BB" w:rsidRDefault="00E17021" w:rsidP="005441BB">
      <w:pPr>
        <w:autoSpaceDE w:val="0"/>
        <w:autoSpaceDN w:val="0"/>
        <w:adjustRightInd w:val="0"/>
        <w:spacing w:after="0" w:line="360" w:lineRule="auto"/>
        <w:ind w:left="360" w:right="-142"/>
        <w:rPr>
          <w:rFonts w:cstheme="minorHAnsi"/>
          <w:b/>
          <w:sz w:val="20"/>
          <w:szCs w:val="20"/>
        </w:rPr>
      </w:pPr>
      <w:bookmarkStart w:id="44" w:name="_Toc338761829"/>
      <w:bookmarkStart w:id="45" w:name="_Toc338761989"/>
      <w:bookmarkStart w:id="46" w:name="_Toc338762138"/>
      <w:bookmarkStart w:id="47" w:name="_Toc338762500"/>
      <w:bookmarkStart w:id="48" w:name="_Toc338762719"/>
      <w:bookmarkStart w:id="49" w:name="_Toc338779021"/>
    </w:p>
    <w:p w:rsidR="00E17021" w:rsidRDefault="00E17021" w:rsidP="005441BB">
      <w:pPr>
        <w:autoSpaceDE w:val="0"/>
        <w:autoSpaceDN w:val="0"/>
        <w:adjustRightInd w:val="0"/>
        <w:spacing w:after="0" w:line="360" w:lineRule="auto"/>
        <w:ind w:left="360" w:right="-142"/>
        <w:rPr>
          <w:rFonts w:cstheme="minorHAnsi"/>
          <w:sz w:val="20"/>
          <w:szCs w:val="20"/>
        </w:rPr>
      </w:pPr>
      <w:r w:rsidRPr="00EB40C4">
        <w:rPr>
          <w:rFonts w:cstheme="minorHAnsi"/>
          <w:sz w:val="20"/>
          <w:szCs w:val="20"/>
        </w:rPr>
        <w:t>Variáveis de Saúde e de Tratamento</w:t>
      </w:r>
      <w:bookmarkEnd w:id="44"/>
      <w:bookmarkEnd w:id="45"/>
      <w:bookmarkEnd w:id="46"/>
      <w:bookmarkEnd w:id="47"/>
      <w:bookmarkEnd w:id="48"/>
      <w:bookmarkEnd w:id="49"/>
      <w:r w:rsidR="00EB40C4">
        <w:rPr>
          <w:rFonts w:cstheme="minorHAnsi"/>
          <w:sz w:val="20"/>
          <w:szCs w:val="20"/>
        </w:rPr>
        <w:t>:</w:t>
      </w:r>
    </w:p>
    <w:p w:rsidR="00EB40C4" w:rsidRPr="00EB40C4" w:rsidRDefault="00EB40C4" w:rsidP="005441BB">
      <w:pPr>
        <w:autoSpaceDE w:val="0"/>
        <w:autoSpaceDN w:val="0"/>
        <w:adjustRightInd w:val="0"/>
        <w:spacing w:after="0" w:line="360" w:lineRule="auto"/>
        <w:ind w:left="360" w:right="-142"/>
        <w:rPr>
          <w:rFonts w:cstheme="minorHAnsi"/>
          <w:sz w:val="20"/>
          <w:szCs w:val="20"/>
        </w:rPr>
      </w:pPr>
    </w:p>
    <w:p w:rsidR="00E17021" w:rsidRPr="00EB40C4" w:rsidRDefault="00E17021" w:rsidP="00EB40C4">
      <w:pPr>
        <w:pStyle w:val="PargrafodaLista"/>
        <w:numPr>
          <w:ilvl w:val="0"/>
          <w:numId w:val="10"/>
        </w:numPr>
        <w:spacing w:after="0" w:line="360" w:lineRule="auto"/>
        <w:ind w:left="567" w:hanging="207"/>
        <w:rPr>
          <w:rFonts w:cstheme="minorHAnsi"/>
          <w:i/>
          <w:sz w:val="20"/>
          <w:szCs w:val="20"/>
        </w:rPr>
      </w:pPr>
      <w:r w:rsidRPr="00EB40C4">
        <w:rPr>
          <w:rFonts w:cstheme="minorHAnsi"/>
          <w:i/>
          <w:sz w:val="20"/>
          <w:szCs w:val="20"/>
        </w:rPr>
        <w:t>Idade de início dos consumos, tempo de abstinência, sintomas de privação e tratamentos de desabit</w:t>
      </w:r>
      <w:r w:rsidR="00EB40C4" w:rsidRPr="00EB40C4">
        <w:rPr>
          <w:rFonts w:cstheme="minorHAnsi"/>
          <w:i/>
          <w:sz w:val="20"/>
          <w:szCs w:val="20"/>
        </w:rPr>
        <w:t xml:space="preserve">uação </w:t>
      </w:r>
      <w:r w:rsidR="0001519E">
        <w:rPr>
          <w:rFonts w:cstheme="minorHAnsi"/>
          <w:i/>
          <w:sz w:val="20"/>
          <w:szCs w:val="20"/>
        </w:rPr>
        <w:t>anteriores</w:t>
      </w:r>
    </w:p>
    <w:p w:rsidR="00E17021" w:rsidRPr="00EB40C4" w:rsidRDefault="00E17021" w:rsidP="005441BB">
      <w:pPr>
        <w:spacing w:after="0" w:line="360" w:lineRule="auto"/>
        <w:ind w:left="360"/>
        <w:rPr>
          <w:rFonts w:cstheme="minorHAnsi"/>
          <w:sz w:val="20"/>
          <w:szCs w:val="20"/>
        </w:rPr>
      </w:pPr>
    </w:p>
    <w:p w:rsidR="00E17021" w:rsidRPr="00EB40C4" w:rsidRDefault="00E17021" w:rsidP="0001519E">
      <w:pPr>
        <w:pStyle w:val="Tabelas"/>
        <w:spacing w:before="0" w:after="0" w:line="360" w:lineRule="auto"/>
        <w:ind w:left="360"/>
        <w:jc w:val="center"/>
        <w:rPr>
          <w:rFonts w:asciiTheme="minorHAnsi" w:hAnsiTheme="minorHAnsi" w:cstheme="minorHAnsi"/>
          <w:b w:val="0"/>
          <w:color w:val="auto"/>
          <w:sz w:val="16"/>
          <w:szCs w:val="16"/>
        </w:rPr>
      </w:pPr>
      <w:bookmarkStart w:id="50" w:name="_Toc333503569"/>
      <w:bookmarkStart w:id="51" w:name="_Toc333503632"/>
      <w:bookmarkStart w:id="52" w:name="_Toc333504372"/>
      <w:bookmarkStart w:id="53" w:name="_Toc338771766"/>
      <w:r w:rsidRPr="00EB40C4">
        <w:rPr>
          <w:rFonts w:asciiTheme="minorHAnsi" w:hAnsiTheme="minorHAnsi" w:cstheme="minorHAnsi"/>
          <w:b w:val="0"/>
          <w:color w:val="auto"/>
          <w:sz w:val="16"/>
          <w:szCs w:val="16"/>
        </w:rPr>
        <w:t>Tabela 2</w:t>
      </w:r>
    </w:p>
    <w:p w:rsidR="00E17021" w:rsidRPr="00EB40C4" w:rsidRDefault="00E17021" w:rsidP="0001519E">
      <w:pPr>
        <w:pStyle w:val="Tabelas"/>
        <w:spacing w:before="0" w:after="0" w:line="360" w:lineRule="auto"/>
        <w:ind w:left="360"/>
        <w:jc w:val="center"/>
        <w:rPr>
          <w:rFonts w:asciiTheme="minorHAnsi" w:hAnsiTheme="minorHAnsi" w:cstheme="minorHAnsi"/>
          <w:b w:val="0"/>
          <w:i/>
          <w:color w:val="auto"/>
          <w:sz w:val="16"/>
          <w:szCs w:val="16"/>
        </w:rPr>
      </w:pPr>
      <w:r w:rsidRPr="00EB40C4">
        <w:rPr>
          <w:rFonts w:asciiTheme="minorHAnsi" w:hAnsiTheme="minorHAnsi" w:cstheme="minorHAnsi"/>
          <w:b w:val="0"/>
          <w:i/>
          <w:color w:val="auto"/>
          <w:sz w:val="16"/>
          <w:szCs w:val="16"/>
        </w:rPr>
        <w:t xml:space="preserve">Correlação entre o </w:t>
      </w:r>
      <w:r w:rsidR="007152CF">
        <w:rPr>
          <w:rFonts w:asciiTheme="minorHAnsi" w:hAnsiTheme="minorHAnsi" w:cstheme="minorHAnsi"/>
          <w:b w:val="0"/>
          <w:i/>
          <w:color w:val="auto"/>
          <w:sz w:val="16"/>
          <w:szCs w:val="16"/>
        </w:rPr>
        <w:t>t</w:t>
      </w:r>
      <w:r w:rsidRPr="00EB40C4">
        <w:rPr>
          <w:rFonts w:asciiTheme="minorHAnsi" w:hAnsiTheme="minorHAnsi" w:cstheme="minorHAnsi"/>
          <w:b w:val="0"/>
          <w:i/>
          <w:color w:val="auto"/>
          <w:sz w:val="16"/>
          <w:szCs w:val="16"/>
        </w:rPr>
        <w:t xml:space="preserve">empo de </w:t>
      </w:r>
      <w:r w:rsidR="007152CF">
        <w:rPr>
          <w:rFonts w:asciiTheme="minorHAnsi" w:hAnsiTheme="minorHAnsi" w:cstheme="minorHAnsi"/>
          <w:b w:val="0"/>
          <w:i/>
          <w:color w:val="auto"/>
          <w:sz w:val="16"/>
          <w:szCs w:val="16"/>
        </w:rPr>
        <w:t>a</w:t>
      </w:r>
      <w:r w:rsidRPr="00EB40C4">
        <w:rPr>
          <w:rFonts w:asciiTheme="minorHAnsi" w:hAnsiTheme="minorHAnsi" w:cstheme="minorHAnsi"/>
          <w:b w:val="0"/>
          <w:i/>
          <w:color w:val="auto"/>
          <w:sz w:val="16"/>
          <w:szCs w:val="16"/>
        </w:rPr>
        <w:t xml:space="preserve">bstinência e o </w:t>
      </w:r>
      <w:r w:rsidR="007152CF">
        <w:rPr>
          <w:rFonts w:asciiTheme="minorHAnsi" w:hAnsiTheme="minorHAnsi" w:cstheme="minorHAnsi"/>
          <w:b w:val="0"/>
          <w:i/>
          <w:color w:val="auto"/>
          <w:sz w:val="16"/>
          <w:szCs w:val="16"/>
        </w:rPr>
        <w:t>n</w:t>
      </w:r>
      <w:r w:rsidRPr="00EB40C4">
        <w:rPr>
          <w:rFonts w:asciiTheme="minorHAnsi" w:hAnsiTheme="minorHAnsi" w:cstheme="minorHAnsi"/>
          <w:b w:val="0"/>
          <w:i/>
          <w:color w:val="auto"/>
          <w:sz w:val="16"/>
          <w:szCs w:val="16"/>
        </w:rPr>
        <w:t xml:space="preserve">úmero de </w:t>
      </w:r>
      <w:r w:rsidR="007152CF">
        <w:rPr>
          <w:rFonts w:asciiTheme="minorHAnsi" w:hAnsiTheme="minorHAnsi" w:cstheme="minorHAnsi"/>
          <w:b w:val="0"/>
          <w:i/>
          <w:color w:val="auto"/>
          <w:sz w:val="16"/>
          <w:szCs w:val="16"/>
        </w:rPr>
        <w:t>t</w:t>
      </w:r>
      <w:r w:rsidRPr="00EB40C4">
        <w:rPr>
          <w:rFonts w:asciiTheme="minorHAnsi" w:hAnsiTheme="minorHAnsi" w:cstheme="minorHAnsi"/>
          <w:b w:val="0"/>
          <w:i/>
          <w:color w:val="auto"/>
          <w:sz w:val="16"/>
          <w:szCs w:val="16"/>
        </w:rPr>
        <w:t xml:space="preserve">ratamentos de </w:t>
      </w:r>
      <w:r w:rsidR="007152CF">
        <w:rPr>
          <w:rFonts w:asciiTheme="minorHAnsi" w:hAnsiTheme="minorHAnsi" w:cstheme="minorHAnsi"/>
          <w:b w:val="0"/>
          <w:i/>
          <w:color w:val="auto"/>
          <w:sz w:val="16"/>
          <w:szCs w:val="16"/>
        </w:rPr>
        <w:t>d</w:t>
      </w:r>
      <w:r w:rsidRPr="00EB40C4">
        <w:rPr>
          <w:rFonts w:asciiTheme="minorHAnsi" w:hAnsiTheme="minorHAnsi" w:cstheme="minorHAnsi"/>
          <w:b w:val="0"/>
          <w:i/>
          <w:color w:val="auto"/>
          <w:sz w:val="16"/>
          <w:szCs w:val="16"/>
        </w:rPr>
        <w:t xml:space="preserve">esabituação </w:t>
      </w:r>
      <w:r w:rsidR="007152CF">
        <w:rPr>
          <w:rFonts w:asciiTheme="minorHAnsi" w:hAnsiTheme="minorHAnsi" w:cstheme="minorHAnsi"/>
          <w:b w:val="0"/>
          <w:i/>
          <w:color w:val="auto"/>
          <w:sz w:val="16"/>
          <w:szCs w:val="16"/>
        </w:rPr>
        <w:t>a</w:t>
      </w:r>
      <w:r w:rsidRPr="00EB40C4">
        <w:rPr>
          <w:rFonts w:asciiTheme="minorHAnsi" w:hAnsiTheme="minorHAnsi" w:cstheme="minorHAnsi"/>
          <w:b w:val="0"/>
          <w:i/>
          <w:color w:val="auto"/>
          <w:sz w:val="16"/>
          <w:szCs w:val="16"/>
        </w:rPr>
        <w:t>nterior</w:t>
      </w:r>
      <w:r w:rsidR="007152CF">
        <w:rPr>
          <w:rFonts w:asciiTheme="minorHAnsi" w:hAnsiTheme="minorHAnsi" w:cstheme="minorHAnsi"/>
          <w:b w:val="0"/>
          <w:i/>
          <w:color w:val="auto"/>
          <w:sz w:val="16"/>
          <w:szCs w:val="16"/>
        </w:rPr>
        <w:t>es</w:t>
      </w:r>
      <w:r w:rsidRPr="00EB40C4">
        <w:rPr>
          <w:rFonts w:asciiTheme="minorHAnsi" w:hAnsiTheme="minorHAnsi" w:cstheme="minorHAnsi"/>
          <w:b w:val="0"/>
          <w:i/>
          <w:color w:val="auto"/>
          <w:sz w:val="16"/>
          <w:szCs w:val="16"/>
        </w:rPr>
        <w:t xml:space="preserve"> com as </w:t>
      </w:r>
      <w:proofErr w:type="spellStart"/>
      <w:r w:rsidR="007152CF">
        <w:rPr>
          <w:rFonts w:asciiTheme="minorHAnsi" w:hAnsiTheme="minorHAnsi" w:cstheme="minorHAnsi"/>
          <w:b w:val="0"/>
          <w:i/>
          <w:color w:val="auto"/>
          <w:sz w:val="16"/>
          <w:szCs w:val="16"/>
        </w:rPr>
        <w:t>s</w:t>
      </w:r>
      <w:r w:rsidRPr="00EB40C4">
        <w:rPr>
          <w:rFonts w:asciiTheme="minorHAnsi" w:hAnsiTheme="minorHAnsi" w:cstheme="minorHAnsi"/>
          <w:b w:val="0"/>
          <w:i/>
          <w:color w:val="auto"/>
          <w:sz w:val="16"/>
          <w:szCs w:val="16"/>
        </w:rPr>
        <w:t>ubscalas</w:t>
      </w:r>
      <w:proofErr w:type="spellEnd"/>
      <w:r w:rsidRPr="00EB40C4">
        <w:rPr>
          <w:rFonts w:asciiTheme="minorHAnsi" w:hAnsiTheme="minorHAnsi" w:cstheme="minorHAnsi"/>
          <w:b w:val="0"/>
          <w:i/>
          <w:color w:val="auto"/>
          <w:sz w:val="16"/>
          <w:szCs w:val="16"/>
        </w:rPr>
        <w:t xml:space="preserve"> e </w:t>
      </w:r>
      <w:r w:rsidR="007152CF">
        <w:rPr>
          <w:rFonts w:asciiTheme="minorHAnsi" w:hAnsiTheme="minorHAnsi" w:cstheme="minorHAnsi"/>
          <w:b w:val="0"/>
          <w:i/>
          <w:color w:val="auto"/>
          <w:sz w:val="16"/>
          <w:szCs w:val="16"/>
        </w:rPr>
        <w:t>e</w:t>
      </w:r>
      <w:r w:rsidRPr="00EB40C4">
        <w:rPr>
          <w:rFonts w:asciiTheme="minorHAnsi" w:hAnsiTheme="minorHAnsi" w:cstheme="minorHAnsi"/>
          <w:b w:val="0"/>
          <w:i/>
          <w:color w:val="auto"/>
          <w:sz w:val="16"/>
          <w:szCs w:val="16"/>
        </w:rPr>
        <w:t xml:space="preserve">scala </w:t>
      </w:r>
      <w:r w:rsidR="007152CF">
        <w:rPr>
          <w:rFonts w:asciiTheme="minorHAnsi" w:hAnsiTheme="minorHAnsi" w:cstheme="minorHAnsi"/>
          <w:b w:val="0"/>
          <w:i/>
          <w:color w:val="auto"/>
          <w:sz w:val="16"/>
          <w:szCs w:val="16"/>
        </w:rPr>
        <w:t>g</w:t>
      </w:r>
      <w:r w:rsidRPr="00EB40C4">
        <w:rPr>
          <w:rFonts w:asciiTheme="minorHAnsi" w:hAnsiTheme="minorHAnsi" w:cstheme="minorHAnsi"/>
          <w:b w:val="0"/>
          <w:i/>
          <w:color w:val="auto"/>
          <w:sz w:val="16"/>
          <w:szCs w:val="16"/>
        </w:rPr>
        <w:t>lobal do QLI</w:t>
      </w:r>
      <w:bookmarkEnd w:id="50"/>
      <w:bookmarkEnd w:id="51"/>
      <w:bookmarkEnd w:id="52"/>
      <w:bookmarkEnd w:id="53"/>
    </w:p>
    <w:tbl>
      <w:tblPr>
        <w:tblStyle w:val="TabelacomGrelhaClara1"/>
        <w:tblW w:w="7655" w:type="dxa"/>
        <w:jc w:val="center"/>
        <w:tblLook w:val="04A0" w:firstRow="1" w:lastRow="0" w:firstColumn="1" w:lastColumn="0" w:noHBand="0" w:noVBand="1"/>
      </w:tblPr>
      <w:tblGrid>
        <w:gridCol w:w="2835"/>
        <w:gridCol w:w="2268"/>
        <w:gridCol w:w="2552"/>
      </w:tblGrid>
      <w:tr w:rsidR="00E17021" w:rsidRPr="005441BB" w:rsidTr="00D80434">
        <w:trPr>
          <w:trHeight w:val="523"/>
          <w:jc w:val="center"/>
        </w:trPr>
        <w:tc>
          <w:tcPr>
            <w:tcW w:w="2835" w:type="dxa"/>
            <w:tcBorders>
              <w:top w:val="single" w:sz="4" w:space="0" w:color="auto"/>
              <w:bottom w:val="single" w:sz="4" w:space="0" w:color="auto"/>
            </w:tcBorders>
            <w:shd w:val="clear" w:color="auto" w:fill="D9D9D9" w:themeFill="background1" w:themeFillShade="D9"/>
          </w:tcPr>
          <w:p w:rsidR="00E17021" w:rsidRPr="00EB40C4" w:rsidRDefault="00E17021" w:rsidP="005441BB">
            <w:pPr>
              <w:spacing w:line="360" w:lineRule="auto"/>
              <w:ind w:left="360"/>
              <w:rPr>
                <w:rFonts w:cstheme="minorHAnsi"/>
                <w:b/>
                <w:sz w:val="16"/>
                <w:szCs w:val="16"/>
              </w:rPr>
            </w:pPr>
            <w:proofErr w:type="spellStart"/>
            <w:r w:rsidRPr="00EB40C4">
              <w:rPr>
                <w:rFonts w:cstheme="minorHAnsi"/>
                <w:b/>
                <w:sz w:val="16"/>
                <w:szCs w:val="16"/>
              </w:rPr>
              <w:t>Subscalas</w:t>
            </w:r>
            <w:proofErr w:type="spellEnd"/>
            <w:r w:rsidRPr="00EB40C4">
              <w:rPr>
                <w:rFonts w:cstheme="minorHAnsi"/>
                <w:b/>
                <w:sz w:val="16"/>
                <w:szCs w:val="16"/>
              </w:rPr>
              <w:t>/Escala Global</w:t>
            </w:r>
          </w:p>
        </w:tc>
        <w:tc>
          <w:tcPr>
            <w:tcW w:w="2268" w:type="dxa"/>
            <w:tcBorders>
              <w:top w:val="single" w:sz="4" w:space="0" w:color="auto"/>
              <w:bottom w:val="single" w:sz="4" w:space="0" w:color="auto"/>
            </w:tcBorders>
            <w:shd w:val="clear" w:color="auto" w:fill="D9D9D9" w:themeFill="background1" w:themeFillShade="D9"/>
          </w:tcPr>
          <w:p w:rsidR="00E17021" w:rsidRPr="00EB40C4" w:rsidRDefault="00E17021" w:rsidP="00EB40C4">
            <w:pPr>
              <w:spacing w:line="360" w:lineRule="auto"/>
              <w:ind w:left="360"/>
              <w:jc w:val="center"/>
              <w:rPr>
                <w:rFonts w:cstheme="minorHAnsi"/>
                <w:b/>
                <w:sz w:val="16"/>
                <w:szCs w:val="16"/>
              </w:rPr>
            </w:pPr>
            <w:r w:rsidRPr="00EB40C4">
              <w:rPr>
                <w:rFonts w:cstheme="minorHAnsi"/>
                <w:b/>
                <w:sz w:val="16"/>
                <w:szCs w:val="16"/>
              </w:rPr>
              <w:t>Tempo de abstinência</w:t>
            </w:r>
          </w:p>
          <w:p w:rsidR="00E17021" w:rsidRPr="00EB40C4" w:rsidRDefault="00E17021" w:rsidP="00EB40C4">
            <w:pPr>
              <w:spacing w:line="360" w:lineRule="auto"/>
              <w:ind w:left="360" w:right="-108"/>
              <w:jc w:val="center"/>
              <w:rPr>
                <w:rFonts w:cstheme="minorHAnsi"/>
                <w:b/>
                <w:sz w:val="16"/>
                <w:szCs w:val="16"/>
              </w:rPr>
            </w:pPr>
            <w:r w:rsidRPr="00EB40C4">
              <w:rPr>
                <w:rFonts w:cstheme="minorHAnsi"/>
                <w:b/>
                <w:sz w:val="16"/>
                <w:szCs w:val="16"/>
              </w:rPr>
              <w:t>(em meses)</w:t>
            </w:r>
          </w:p>
        </w:tc>
        <w:tc>
          <w:tcPr>
            <w:tcW w:w="2552" w:type="dxa"/>
            <w:tcBorders>
              <w:top w:val="single" w:sz="4" w:space="0" w:color="auto"/>
              <w:bottom w:val="single" w:sz="4" w:space="0" w:color="auto"/>
            </w:tcBorders>
            <w:shd w:val="clear" w:color="auto" w:fill="D9D9D9" w:themeFill="background1" w:themeFillShade="D9"/>
          </w:tcPr>
          <w:p w:rsidR="00E17021" w:rsidRPr="00EB40C4" w:rsidRDefault="00E17021" w:rsidP="00EB40C4">
            <w:pPr>
              <w:spacing w:line="360" w:lineRule="auto"/>
              <w:ind w:left="360"/>
              <w:jc w:val="center"/>
              <w:rPr>
                <w:rFonts w:cstheme="minorHAnsi"/>
                <w:b/>
                <w:sz w:val="16"/>
                <w:szCs w:val="16"/>
              </w:rPr>
            </w:pPr>
            <w:r w:rsidRPr="00EB40C4">
              <w:rPr>
                <w:rFonts w:cstheme="minorHAnsi"/>
                <w:b/>
                <w:sz w:val="16"/>
                <w:szCs w:val="16"/>
              </w:rPr>
              <w:t>Tratamentos de desabituação anteriores</w:t>
            </w:r>
          </w:p>
        </w:tc>
      </w:tr>
      <w:tr w:rsidR="00E17021" w:rsidRPr="005441BB" w:rsidTr="00D80434">
        <w:trPr>
          <w:trHeight w:val="272"/>
          <w:jc w:val="center"/>
        </w:trPr>
        <w:tc>
          <w:tcPr>
            <w:tcW w:w="2835" w:type="dxa"/>
            <w:tcBorders>
              <w:top w:val="single" w:sz="4" w:space="0" w:color="auto"/>
            </w:tcBorders>
          </w:tcPr>
          <w:p w:rsidR="00E17021" w:rsidRPr="00EB40C4" w:rsidRDefault="00E17021" w:rsidP="005441BB">
            <w:pPr>
              <w:spacing w:line="360" w:lineRule="auto"/>
              <w:ind w:left="360" w:right="-108"/>
              <w:rPr>
                <w:rFonts w:cstheme="minorHAnsi"/>
                <w:sz w:val="16"/>
                <w:szCs w:val="16"/>
              </w:rPr>
            </w:pPr>
            <w:r w:rsidRPr="00EB40C4">
              <w:rPr>
                <w:rFonts w:cstheme="minorHAnsi"/>
                <w:sz w:val="16"/>
                <w:szCs w:val="16"/>
              </w:rPr>
              <w:t>Saúde e Funcionalidade (SF)</w:t>
            </w:r>
          </w:p>
        </w:tc>
        <w:tc>
          <w:tcPr>
            <w:tcW w:w="2268" w:type="dxa"/>
            <w:tcBorders>
              <w:top w:val="single" w:sz="4" w:space="0" w:color="auto"/>
            </w:tcBorders>
          </w:tcPr>
          <w:p w:rsidR="00E17021" w:rsidRPr="00EB40C4" w:rsidRDefault="00E17021" w:rsidP="00EB40C4">
            <w:pPr>
              <w:spacing w:line="360" w:lineRule="auto"/>
              <w:ind w:left="360"/>
              <w:jc w:val="center"/>
              <w:rPr>
                <w:rFonts w:cstheme="minorHAnsi"/>
                <w:sz w:val="16"/>
                <w:szCs w:val="16"/>
              </w:rPr>
            </w:pPr>
            <w:bookmarkStart w:id="54" w:name="_Toc331611381"/>
            <w:bookmarkStart w:id="55" w:name="_Toc331611942"/>
            <w:r w:rsidRPr="00EB40C4">
              <w:rPr>
                <w:rFonts w:cstheme="minorHAnsi"/>
                <w:sz w:val="16"/>
                <w:szCs w:val="16"/>
              </w:rPr>
              <w:t>0,20*</w:t>
            </w:r>
            <w:bookmarkEnd w:id="54"/>
            <w:bookmarkEnd w:id="55"/>
          </w:p>
        </w:tc>
        <w:tc>
          <w:tcPr>
            <w:tcW w:w="2552" w:type="dxa"/>
            <w:tcBorders>
              <w:top w:val="single" w:sz="4" w:space="0" w:color="auto"/>
            </w:tcBorders>
          </w:tcPr>
          <w:p w:rsidR="00E17021" w:rsidRPr="00EB40C4" w:rsidRDefault="00E17021" w:rsidP="00EB40C4">
            <w:pPr>
              <w:spacing w:line="360" w:lineRule="auto"/>
              <w:ind w:left="360"/>
              <w:jc w:val="center"/>
              <w:rPr>
                <w:rFonts w:cstheme="minorHAnsi"/>
                <w:sz w:val="16"/>
                <w:szCs w:val="16"/>
              </w:rPr>
            </w:pPr>
            <w:bookmarkStart w:id="56" w:name="_Toc331611382"/>
            <w:bookmarkStart w:id="57" w:name="_Toc331611943"/>
            <w:proofErr w:type="spellStart"/>
            <w:r w:rsidRPr="00EB40C4">
              <w:rPr>
                <w:rFonts w:cstheme="minorHAnsi"/>
                <w:sz w:val="16"/>
                <w:szCs w:val="16"/>
              </w:rPr>
              <w:t>ns</w:t>
            </w:r>
            <w:bookmarkEnd w:id="56"/>
            <w:bookmarkEnd w:id="57"/>
            <w:proofErr w:type="spellEnd"/>
          </w:p>
        </w:tc>
      </w:tr>
      <w:tr w:rsidR="00E17021" w:rsidRPr="005441BB" w:rsidTr="0001519E">
        <w:trPr>
          <w:trHeight w:val="235"/>
          <w:jc w:val="center"/>
        </w:trPr>
        <w:tc>
          <w:tcPr>
            <w:tcW w:w="2835" w:type="dxa"/>
          </w:tcPr>
          <w:p w:rsidR="00E17021" w:rsidRPr="00EB40C4" w:rsidRDefault="00E17021" w:rsidP="005441BB">
            <w:pPr>
              <w:spacing w:line="360" w:lineRule="auto"/>
              <w:ind w:left="360"/>
              <w:rPr>
                <w:rFonts w:cstheme="minorHAnsi"/>
                <w:sz w:val="16"/>
                <w:szCs w:val="16"/>
              </w:rPr>
            </w:pPr>
            <w:r w:rsidRPr="00EB40C4">
              <w:rPr>
                <w:rFonts w:cstheme="minorHAnsi"/>
                <w:sz w:val="16"/>
                <w:szCs w:val="16"/>
              </w:rPr>
              <w:lastRenderedPageBreak/>
              <w:t>Social e Económica (SE)</w:t>
            </w:r>
          </w:p>
        </w:tc>
        <w:tc>
          <w:tcPr>
            <w:tcW w:w="2268" w:type="dxa"/>
          </w:tcPr>
          <w:p w:rsidR="00E17021" w:rsidRPr="00EB40C4" w:rsidRDefault="00E17021" w:rsidP="00EB40C4">
            <w:pPr>
              <w:spacing w:line="360" w:lineRule="auto"/>
              <w:ind w:left="360"/>
              <w:jc w:val="center"/>
              <w:rPr>
                <w:rFonts w:cstheme="minorHAnsi"/>
                <w:sz w:val="16"/>
                <w:szCs w:val="16"/>
              </w:rPr>
            </w:pPr>
            <w:bookmarkStart w:id="58" w:name="_Toc331611944"/>
            <w:proofErr w:type="spellStart"/>
            <w:r w:rsidRPr="00EB40C4">
              <w:rPr>
                <w:rFonts w:cstheme="minorHAnsi"/>
                <w:sz w:val="16"/>
                <w:szCs w:val="16"/>
              </w:rPr>
              <w:t>ns</w:t>
            </w:r>
            <w:bookmarkEnd w:id="58"/>
            <w:proofErr w:type="spellEnd"/>
          </w:p>
        </w:tc>
        <w:tc>
          <w:tcPr>
            <w:tcW w:w="2552" w:type="dxa"/>
          </w:tcPr>
          <w:p w:rsidR="00E17021" w:rsidRPr="00EB40C4" w:rsidRDefault="00E17021" w:rsidP="00EB40C4">
            <w:pPr>
              <w:spacing w:line="360" w:lineRule="auto"/>
              <w:ind w:left="360"/>
              <w:jc w:val="center"/>
              <w:rPr>
                <w:rFonts w:cstheme="minorHAnsi"/>
                <w:sz w:val="16"/>
                <w:szCs w:val="16"/>
              </w:rPr>
            </w:pPr>
            <w:bookmarkStart w:id="59" w:name="_Toc331611945"/>
            <w:r w:rsidRPr="00EB40C4">
              <w:rPr>
                <w:rFonts w:cstheme="minorHAnsi"/>
                <w:sz w:val="16"/>
                <w:szCs w:val="16"/>
              </w:rPr>
              <w:t>-0,19*</w:t>
            </w:r>
            <w:bookmarkEnd w:id="59"/>
          </w:p>
        </w:tc>
      </w:tr>
      <w:tr w:rsidR="00E17021" w:rsidRPr="005441BB" w:rsidTr="0001519E">
        <w:trPr>
          <w:trHeight w:val="286"/>
          <w:jc w:val="center"/>
        </w:trPr>
        <w:tc>
          <w:tcPr>
            <w:tcW w:w="2835" w:type="dxa"/>
          </w:tcPr>
          <w:p w:rsidR="00E17021" w:rsidRPr="00EB40C4" w:rsidRDefault="00E17021" w:rsidP="005441BB">
            <w:pPr>
              <w:spacing w:line="360" w:lineRule="auto"/>
              <w:ind w:left="360"/>
              <w:rPr>
                <w:rFonts w:cstheme="minorHAnsi"/>
                <w:sz w:val="16"/>
                <w:szCs w:val="16"/>
              </w:rPr>
            </w:pPr>
            <w:r w:rsidRPr="00EB40C4">
              <w:rPr>
                <w:rFonts w:cstheme="minorHAnsi"/>
                <w:sz w:val="16"/>
                <w:szCs w:val="16"/>
              </w:rPr>
              <w:t>Psicológica e Espiritual (PE)</w:t>
            </w:r>
          </w:p>
        </w:tc>
        <w:tc>
          <w:tcPr>
            <w:tcW w:w="2268" w:type="dxa"/>
          </w:tcPr>
          <w:p w:rsidR="00E17021" w:rsidRPr="00EB40C4" w:rsidRDefault="00E17021" w:rsidP="00EB40C4">
            <w:pPr>
              <w:spacing w:line="360" w:lineRule="auto"/>
              <w:ind w:left="360"/>
              <w:jc w:val="center"/>
              <w:rPr>
                <w:rFonts w:cstheme="minorHAnsi"/>
                <w:sz w:val="16"/>
                <w:szCs w:val="16"/>
              </w:rPr>
            </w:pPr>
            <w:bookmarkStart w:id="60" w:name="_Toc331611946"/>
            <w:r w:rsidRPr="00EB40C4">
              <w:rPr>
                <w:rFonts w:cstheme="minorHAnsi"/>
                <w:sz w:val="16"/>
                <w:szCs w:val="16"/>
              </w:rPr>
              <w:t>0,20*</w:t>
            </w:r>
            <w:bookmarkEnd w:id="60"/>
          </w:p>
        </w:tc>
        <w:tc>
          <w:tcPr>
            <w:tcW w:w="2552" w:type="dxa"/>
          </w:tcPr>
          <w:p w:rsidR="00E17021" w:rsidRPr="00EB40C4" w:rsidRDefault="00E17021" w:rsidP="00EB40C4">
            <w:pPr>
              <w:spacing w:line="360" w:lineRule="auto"/>
              <w:ind w:left="360"/>
              <w:jc w:val="center"/>
              <w:rPr>
                <w:rFonts w:cstheme="minorHAnsi"/>
                <w:sz w:val="16"/>
                <w:szCs w:val="16"/>
              </w:rPr>
            </w:pPr>
            <w:bookmarkStart w:id="61" w:name="_Toc331611947"/>
            <w:proofErr w:type="spellStart"/>
            <w:r w:rsidRPr="00EB40C4">
              <w:rPr>
                <w:rFonts w:cstheme="minorHAnsi"/>
                <w:sz w:val="16"/>
                <w:szCs w:val="16"/>
              </w:rPr>
              <w:t>ns</w:t>
            </w:r>
            <w:bookmarkEnd w:id="61"/>
            <w:proofErr w:type="spellEnd"/>
          </w:p>
        </w:tc>
      </w:tr>
      <w:tr w:rsidR="00E17021" w:rsidRPr="005441BB" w:rsidTr="00D80434">
        <w:trPr>
          <w:trHeight w:val="227"/>
          <w:jc w:val="center"/>
        </w:trPr>
        <w:tc>
          <w:tcPr>
            <w:tcW w:w="2835" w:type="dxa"/>
            <w:tcBorders>
              <w:bottom w:val="single" w:sz="4" w:space="0" w:color="BFBFBF" w:themeColor="background1" w:themeShade="BF"/>
            </w:tcBorders>
          </w:tcPr>
          <w:p w:rsidR="00E17021" w:rsidRPr="00EB40C4" w:rsidRDefault="00E17021" w:rsidP="005441BB">
            <w:pPr>
              <w:spacing w:line="360" w:lineRule="auto"/>
              <w:ind w:left="360"/>
              <w:rPr>
                <w:rFonts w:cstheme="minorHAnsi"/>
                <w:sz w:val="16"/>
                <w:szCs w:val="16"/>
              </w:rPr>
            </w:pPr>
            <w:r w:rsidRPr="00EB40C4">
              <w:rPr>
                <w:rFonts w:cstheme="minorHAnsi"/>
                <w:sz w:val="16"/>
                <w:szCs w:val="16"/>
              </w:rPr>
              <w:t>Familiar (F)</w:t>
            </w:r>
          </w:p>
        </w:tc>
        <w:tc>
          <w:tcPr>
            <w:tcW w:w="2268" w:type="dxa"/>
            <w:tcBorders>
              <w:bottom w:val="single" w:sz="4" w:space="0" w:color="BFBFBF" w:themeColor="background1" w:themeShade="BF"/>
            </w:tcBorders>
          </w:tcPr>
          <w:p w:rsidR="00E17021" w:rsidRPr="00EB40C4" w:rsidRDefault="00E17021" w:rsidP="00EB40C4">
            <w:pPr>
              <w:spacing w:line="360" w:lineRule="auto"/>
              <w:ind w:left="360"/>
              <w:jc w:val="center"/>
              <w:rPr>
                <w:rFonts w:cstheme="minorHAnsi"/>
                <w:sz w:val="16"/>
                <w:szCs w:val="16"/>
              </w:rPr>
            </w:pPr>
            <w:bookmarkStart w:id="62" w:name="_Toc331611948"/>
            <w:proofErr w:type="spellStart"/>
            <w:r w:rsidRPr="00EB40C4">
              <w:rPr>
                <w:rFonts w:cstheme="minorHAnsi"/>
                <w:sz w:val="16"/>
                <w:szCs w:val="16"/>
              </w:rPr>
              <w:t>ns</w:t>
            </w:r>
            <w:bookmarkEnd w:id="62"/>
            <w:proofErr w:type="spellEnd"/>
          </w:p>
        </w:tc>
        <w:tc>
          <w:tcPr>
            <w:tcW w:w="2552" w:type="dxa"/>
            <w:tcBorders>
              <w:bottom w:val="single" w:sz="4" w:space="0" w:color="BFBFBF" w:themeColor="background1" w:themeShade="BF"/>
            </w:tcBorders>
          </w:tcPr>
          <w:p w:rsidR="00E17021" w:rsidRPr="00EB40C4" w:rsidRDefault="00E17021" w:rsidP="00EB40C4">
            <w:pPr>
              <w:spacing w:line="360" w:lineRule="auto"/>
              <w:ind w:left="360"/>
              <w:jc w:val="center"/>
              <w:rPr>
                <w:rFonts w:cstheme="minorHAnsi"/>
                <w:sz w:val="16"/>
                <w:szCs w:val="16"/>
              </w:rPr>
            </w:pPr>
            <w:bookmarkStart w:id="63" w:name="_Toc331611949"/>
            <w:r w:rsidRPr="00EB40C4">
              <w:rPr>
                <w:rFonts w:cstheme="minorHAnsi"/>
                <w:sz w:val="16"/>
                <w:szCs w:val="16"/>
              </w:rPr>
              <w:t>-0,21*</w:t>
            </w:r>
            <w:bookmarkEnd w:id="63"/>
          </w:p>
        </w:tc>
      </w:tr>
      <w:tr w:rsidR="00E17021" w:rsidRPr="005441BB" w:rsidTr="00D80434">
        <w:trPr>
          <w:trHeight w:val="92"/>
          <w:jc w:val="center"/>
        </w:trPr>
        <w:tc>
          <w:tcPr>
            <w:tcW w:w="2835" w:type="dxa"/>
            <w:tcBorders>
              <w:bottom w:val="single" w:sz="4" w:space="0" w:color="auto"/>
            </w:tcBorders>
          </w:tcPr>
          <w:p w:rsidR="00E17021" w:rsidRPr="00EB40C4" w:rsidRDefault="00E17021" w:rsidP="005441BB">
            <w:pPr>
              <w:spacing w:line="360" w:lineRule="auto"/>
              <w:ind w:left="360"/>
              <w:rPr>
                <w:rFonts w:cstheme="minorHAnsi"/>
                <w:sz w:val="16"/>
                <w:szCs w:val="16"/>
              </w:rPr>
            </w:pPr>
            <w:r w:rsidRPr="00EB40C4">
              <w:rPr>
                <w:rFonts w:cstheme="minorHAnsi"/>
                <w:sz w:val="16"/>
                <w:szCs w:val="16"/>
              </w:rPr>
              <w:t>Qualidade de Vida Global (QLI)</w:t>
            </w:r>
          </w:p>
        </w:tc>
        <w:tc>
          <w:tcPr>
            <w:tcW w:w="2268" w:type="dxa"/>
            <w:tcBorders>
              <w:bottom w:val="single" w:sz="4" w:space="0" w:color="auto"/>
            </w:tcBorders>
          </w:tcPr>
          <w:p w:rsidR="00E17021" w:rsidRPr="00EB40C4" w:rsidRDefault="00E17021" w:rsidP="00EB40C4">
            <w:pPr>
              <w:spacing w:line="360" w:lineRule="auto"/>
              <w:ind w:left="360"/>
              <w:jc w:val="center"/>
              <w:rPr>
                <w:rFonts w:cstheme="minorHAnsi"/>
                <w:sz w:val="16"/>
                <w:szCs w:val="16"/>
              </w:rPr>
            </w:pPr>
            <w:bookmarkStart w:id="64" w:name="_Toc331611950"/>
            <w:r w:rsidRPr="00EB40C4">
              <w:rPr>
                <w:rFonts w:cstheme="minorHAnsi"/>
                <w:sz w:val="16"/>
                <w:szCs w:val="16"/>
              </w:rPr>
              <w:t>0,22*</w:t>
            </w:r>
            <w:bookmarkEnd w:id="64"/>
          </w:p>
        </w:tc>
        <w:tc>
          <w:tcPr>
            <w:tcW w:w="2552" w:type="dxa"/>
            <w:tcBorders>
              <w:bottom w:val="single" w:sz="4" w:space="0" w:color="auto"/>
            </w:tcBorders>
          </w:tcPr>
          <w:p w:rsidR="00E17021" w:rsidRPr="00EB40C4" w:rsidRDefault="00E17021" w:rsidP="00EB40C4">
            <w:pPr>
              <w:spacing w:line="360" w:lineRule="auto"/>
              <w:ind w:left="360"/>
              <w:jc w:val="center"/>
              <w:rPr>
                <w:rFonts w:cstheme="minorHAnsi"/>
                <w:sz w:val="16"/>
                <w:szCs w:val="16"/>
              </w:rPr>
            </w:pPr>
            <w:bookmarkStart w:id="65" w:name="_Toc331611951"/>
            <w:r w:rsidRPr="00EB40C4">
              <w:rPr>
                <w:rFonts w:cstheme="minorHAnsi"/>
                <w:sz w:val="16"/>
                <w:szCs w:val="16"/>
              </w:rPr>
              <w:t>-0,23*</w:t>
            </w:r>
            <w:bookmarkEnd w:id="65"/>
          </w:p>
        </w:tc>
      </w:tr>
    </w:tbl>
    <w:p w:rsidR="00E17021" w:rsidRPr="00EB40C4" w:rsidRDefault="0001519E" w:rsidP="0001519E">
      <w:pPr>
        <w:spacing w:after="0" w:line="360" w:lineRule="auto"/>
        <w:ind w:left="360"/>
        <w:rPr>
          <w:rFonts w:cstheme="minorHAnsi"/>
          <w:sz w:val="16"/>
          <w:szCs w:val="16"/>
        </w:rPr>
      </w:pPr>
      <w:r>
        <w:rPr>
          <w:rFonts w:cstheme="minorHAnsi"/>
          <w:b/>
          <w:sz w:val="16"/>
          <w:szCs w:val="16"/>
        </w:rPr>
        <w:t xml:space="preserve">                                                                                                                                                                              </w:t>
      </w:r>
      <w:r w:rsidR="00EB6142">
        <w:rPr>
          <w:rFonts w:cstheme="minorHAnsi"/>
          <w:b/>
          <w:sz w:val="16"/>
          <w:szCs w:val="16"/>
        </w:rPr>
        <w:t xml:space="preserve">   </w:t>
      </w:r>
      <w:r>
        <w:rPr>
          <w:rFonts w:cstheme="minorHAnsi"/>
          <w:b/>
          <w:sz w:val="16"/>
          <w:szCs w:val="16"/>
        </w:rPr>
        <w:t xml:space="preserve"> </w:t>
      </w:r>
      <w:r w:rsidR="00E17021" w:rsidRPr="00EB40C4">
        <w:rPr>
          <w:rFonts w:cstheme="minorHAnsi"/>
          <w:b/>
          <w:sz w:val="16"/>
          <w:szCs w:val="16"/>
        </w:rPr>
        <w:t>*</w:t>
      </w:r>
      <w:r w:rsidR="00E17021" w:rsidRPr="00EB40C4">
        <w:rPr>
          <w:rFonts w:cstheme="minorHAnsi"/>
          <w:sz w:val="16"/>
          <w:szCs w:val="16"/>
        </w:rPr>
        <w:t>p&lt;0,05</w:t>
      </w:r>
    </w:p>
    <w:p w:rsidR="00E17021" w:rsidRPr="005441BB" w:rsidRDefault="00E17021" w:rsidP="005441BB">
      <w:pPr>
        <w:spacing w:after="0" w:line="360" w:lineRule="auto"/>
        <w:ind w:left="360"/>
        <w:rPr>
          <w:rFonts w:cstheme="minorHAnsi"/>
          <w:b/>
          <w:sz w:val="20"/>
          <w:szCs w:val="20"/>
        </w:rPr>
      </w:pPr>
    </w:p>
    <w:p w:rsidR="00E17021" w:rsidRPr="005441BB" w:rsidRDefault="00E17021" w:rsidP="005441BB">
      <w:pPr>
        <w:spacing w:after="0" w:line="360" w:lineRule="auto"/>
        <w:ind w:left="360"/>
        <w:rPr>
          <w:rFonts w:cstheme="minorHAnsi"/>
          <w:sz w:val="20"/>
          <w:szCs w:val="20"/>
        </w:rPr>
      </w:pPr>
      <w:r w:rsidRPr="005441BB">
        <w:rPr>
          <w:rFonts w:cstheme="minorHAnsi"/>
          <w:sz w:val="20"/>
          <w:szCs w:val="20"/>
        </w:rPr>
        <w:t xml:space="preserve">A idade de início dos consumos e os sintomas de privação não apresentaram correlações significativas com qualquer uma das </w:t>
      </w:r>
      <w:proofErr w:type="spellStart"/>
      <w:r w:rsidRPr="005441BB">
        <w:rPr>
          <w:rFonts w:cstheme="minorHAnsi"/>
          <w:sz w:val="20"/>
          <w:szCs w:val="20"/>
        </w:rPr>
        <w:t>subscalas</w:t>
      </w:r>
      <w:proofErr w:type="spellEnd"/>
      <w:r w:rsidRPr="005441BB">
        <w:rPr>
          <w:rFonts w:cstheme="minorHAnsi"/>
          <w:sz w:val="20"/>
          <w:szCs w:val="20"/>
        </w:rPr>
        <w:t xml:space="preserve"> ou com a escala global. </w:t>
      </w:r>
    </w:p>
    <w:p w:rsidR="00E17021" w:rsidRPr="005441BB" w:rsidRDefault="00EB40C4" w:rsidP="005441BB">
      <w:pPr>
        <w:spacing w:after="0" w:line="360" w:lineRule="auto"/>
        <w:ind w:left="360"/>
        <w:rPr>
          <w:rFonts w:cstheme="minorHAnsi"/>
          <w:sz w:val="20"/>
          <w:szCs w:val="20"/>
        </w:rPr>
      </w:pPr>
      <w:r>
        <w:rPr>
          <w:rFonts w:cstheme="minorHAnsi"/>
          <w:sz w:val="20"/>
          <w:szCs w:val="20"/>
        </w:rPr>
        <w:t>Em contrapartida</w:t>
      </w:r>
      <w:r w:rsidR="00E17021" w:rsidRPr="005441BB">
        <w:rPr>
          <w:rFonts w:cstheme="minorHAnsi"/>
          <w:sz w:val="20"/>
          <w:szCs w:val="20"/>
        </w:rPr>
        <w:t xml:space="preserve">, o tempo de abstinência apresenta uma correlação positiva, </w:t>
      </w:r>
      <w:proofErr w:type="gramStart"/>
      <w:r w:rsidR="00E17021" w:rsidRPr="005441BB">
        <w:rPr>
          <w:rFonts w:cstheme="minorHAnsi"/>
          <w:sz w:val="20"/>
          <w:szCs w:val="20"/>
        </w:rPr>
        <w:t>fraca</w:t>
      </w:r>
      <w:proofErr w:type="gramEnd"/>
      <w:r w:rsidR="00E17021" w:rsidRPr="005441BB">
        <w:rPr>
          <w:rFonts w:cstheme="minorHAnsi"/>
          <w:sz w:val="20"/>
          <w:szCs w:val="20"/>
        </w:rPr>
        <w:t xml:space="preserve"> mas significativa</w:t>
      </w:r>
      <w:r w:rsidR="00EC293E">
        <w:rPr>
          <w:rFonts w:cstheme="minorHAnsi"/>
          <w:sz w:val="20"/>
          <w:szCs w:val="20"/>
        </w:rPr>
        <w:t>,</w:t>
      </w:r>
      <w:r w:rsidR="00E17021" w:rsidRPr="005441BB">
        <w:rPr>
          <w:rFonts w:cstheme="minorHAnsi"/>
          <w:sz w:val="20"/>
          <w:szCs w:val="20"/>
        </w:rPr>
        <w:t xml:space="preserve"> indicando que à medida que aumenta o tempo de abstinência, vai aumentando a perceção de </w:t>
      </w:r>
      <w:r w:rsidR="00590907">
        <w:rPr>
          <w:rFonts w:cstheme="minorHAnsi"/>
          <w:sz w:val="20"/>
          <w:szCs w:val="20"/>
        </w:rPr>
        <w:t>““QV Global”</w:t>
      </w:r>
      <w:r w:rsidR="00EC293E">
        <w:rPr>
          <w:rFonts w:cstheme="minorHAnsi"/>
          <w:sz w:val="20"/>
          <w:szCs w:val="20"/>
        </w:rPr>
        <w:t>, de</w:t>
      </w:r>
      <w:r w:rsidR="0001519E" w:rsidRPr="005441BB">
        <w:rPr>
          <w:rFonts w:cstheme="minorHAnsi"/>
          <w:sz w:val="20"/>
          <w:szCs w:val="20"/>
        </w:rPr>
        <w:t xml:space="preserve"> </w:t>
      </w:r>
      <w:r w:rsidR="00590907">
        <w:rPr>
          <w:rFonts w:cstheme="minorHAnsi"/>
          <w:sz w:val="20"/>
          <w:szCs w:val="20"/>
        </w:rPr>
        <w:t>“Saúde e F</w:t>
      </w:r>
      <w:r w:rsidR="0001519E" w:rsidRPr="005441BB">
        <w:rPr>
          <w:rFonts w:cstheme="minorHAnsi"/>
          <w:sz w:val="20"/>
          <w:szCs w:val="20"/>
        </w:rPr>
        <w:t>uncional</w:t>
      </w:r>
      <w:r w:rsidR="00EC293E">
        <w:rPr>
          <w:rFonts w:cstheme="minorHAnsi"/>
          <w:sz w:val="20"/>
          <w:szCs w:val="20"/>
        </w:rPr>
        <w:t>idade</w:t>
      </w:r>
      <w:r w:rsidR="00590907">
        <w:rPr>
          <w:rFonts w:cstheme="minorHAnsi"/>
          <w:sz w:val="20"/>
          <w:szCs w:val="20"/>
        </w:rPr>
        <w:t>”</w:t>
      </w:r>
      <w:r w:rsidR="00EC293E">
        <w:rPr>
          <w:rFonts w:cstheme="minorHAnsi"/>
          <w:sz w:val="20"/>
          <w:szCs w:val="20"/>
        </w:rPr>
        <w:t xml:space="preserve">, e </w:t>
      </w:r>
      <w:r w:rsidR="00590907">
        <w:rPr>
          <w:rFonts w:cstheme="minorHAnsi"/>
          <w:sz w:val="20"/>
          <w:szCs w:val="20"/>
        </w:rPr>
        <w:t>“Psicológica e E</w:t>
      </w:r>
      <w:r w:rsidR="00EC293E">
        <w:rPr>
          <w:rFonts w:cstheme="minorHAnsi"/>
          <w:sz w:val="20"/>
          <w:szCs w:val="20"/>
        </w:rPr>
        <w:t>spiritual</w:t>
      </w:r>
      <w:r w:rsidR="00590907">
        <w:rPr>
          <w:rFonts w:cstheme="minorHAnsi"/>
          <w:sz w:val="20"/>
          <w:szCs w:val="20"/>
        </w:rPr>
        <w:t>”</w:t>
      </w:r>
      <w:r w:rsidR="00EC293E">
        <w:rPr>
          <w:rFonts w:cstheme="minorHAnsi"/>
          <w:sz w:val="20"/>
          <w:szCs w:val="20"/>
        </w:rPr>
        <w:t>.</w:t>
      </w:r>
    </w:p>
    <w:p w:rsidR="00E17021" w:rsidRPr="005441BB" w:rsidRDefault="00E17021" w:rsidP="005441BB">
      <w:pPr>
        <w:spacing w:after="0" w:line="360" w:lineRule="auto"/>
        <w:ind w:left="360"/>
        <w:rPr>
          <w:rFonts w:cstheme="minorHAnsi"/>
          <w:sz w:val="20"/>
          <w:szCs w:val="20"/>
        </w:rPr>
      </w:pPr>
      <w:r w:rsidRPr="005441BB">
        <w:rPr>
          <w:rFonts w:cstheme="minorHAnsi"/>
          <w:sz w:val="20"/>
          <w:szCs w:val="20"/>
        </w:rPr>
        <w:t>O número de tratamentos já realizados (a</w:t>
      </w:r>
      <w:r w:rsidR="0001519E">
        <w:rPr>
          <w:rFonts w:cstheme="minorHAnsi"/>
          <w:sz w:val="20"/>
          <w:szCs w:val="20"/>
        </w:rPr>
        <w:t xml:space="preserve">ntes da </w:t>
      </w:r>
      <w:r w:rsidRPr="005441BB">
        <w:rPr>
          <w:rFonts w:cstheme="minorHAnsi"/>
          <w:sz w:val="20"/>
          <w:szCs w:val="20"/>
        </w:rPr>
        <w:t xml:space="preserve">recolha de dados) parece também influenciar </w:t>
      </w:r>
      <w:r w:rsidR="00EC293E">
        <w:rPr>
          <w:rFonts w:cstheme="minorHAnsi"/>
          <w:sz w:val="20"/>
          <w:szCs w:val="20"/>
        </w:rPr>
        <w:t xml:space="preserve">de forma negativa, a perceção </w:t>
      </w:r>
      <w:r w:rsidR="00590907">
        <w:rPr>
          <w:rFonts w:cstheme="minorHAnsi"/>
          <w:sz w:val="20"/>
          <w:szCs w:val="20"/>
        </w:rPr>
        <w:t xml:space="preserve">de satisfação </w:t>
      </w:r>
      <w:r w:rsidRPr="005441BB">
        <w:rPr>
          <w:rFonts w:cstheme="minorHAnsi"/>
          <w:sz w:val="20"/>
          <w:szCs w:val="20"/>
        </w:rPr>
        <w:t xml:space="preserve">com a vida </w:t>
      </w:r>
      <w:r w:rsidR="00590907">
        <w:rPr>
          <w:rFonts w:cstheme="minorHAnsi"/>
          <w:sz w:val="20"/>
          <w:szCs w:val="20"/>
        </w:rPr>
        <w:t>“Social e E</w:t>
      </w:r>
      <w:r w:rsidRPr="005441BB">
        <w:rPr>
          <w:rFonts w:cstheme="minorHAnsi"/>
          <w:sz w:val="20"/>
          <w:szCs w:val="20"/>
        </w:rPr>
        <w:t>conómica</w:t>
      </w:r>
      <w:r w:rsidR="00590907">
        <w:rPr>
          <w:rFonts w:cstheme="minorHAnsi"/>
          <w:sz w:val="20"/>
          <w:szCs w:val="20"/>
        </w:rPr>
        <w:t>”</w:t>
      </w:r>
      <w:r w:rsidRPr="005441BB">
        <w:rPr>
          <w:rFonts w:cstheme="minorHAnsi"/>
          <w:sz w:val="20"/>
          <w:szCs w:val="20"/>
        </w:rPr>
        <w:t xml:space="preserve">, com </w:t>
      </w:r>
      <w:r w:rsidR="0001519E">
        <w:rPr>
          <w:rFonts w:cstheme="minorHAnsi"/>
          <w:sz w:val="20"/>
          <w:szCs w:val="20"/>
        </w:rPr>
        <w:t xml:space="preserve">a </w:t>
      </w:r>
      <w:r w:rsidRPr="005441BB">
        <w:rPr>
          <w:rFonts w:cstheme="minorHAnsi"/>
          <w:sz w:val="20"/>
          <w:szCs w:val="20"/>
        </w:rPr>
        <w:t xml:space="preserve">vida </w:t>
      </w:r>
      <w:r w:rsidR="00590907">
        <w:rPr>
          <w:rFonts w:cstheme="minorHAnsi"/>
          <w:sz w:val="20"/>
          <w:szCs w:val="20"/>
        </w:rPr>
        <w:t>“F</w:t>
      </w:r>
      <w:r w:rsidRPr="005441BB">
        <w:rPr>
          <w:rFonts w:cstheme="minorHAnsi"/>
          <w:sz w:val="20"/>
          <w:szCs w:val="20"/>
        </w:rPr>
        <w:t>amiliar</w:t>
      </w:r>
      <w:r w:rsidR="00590907">
        <w:rPr>
          <w:rFonts w:cstheme="minorHAnsi"/>
          <w:sz w:val="20"/>
          <w:szCs w:val="20"/>
        </w:rPr>
        <w:t>”</w:t>
      </w:r>
      <w:r w:rsidRPr="005441BB">
        <w:rPr>
          <w:rFonts w:cstheme="minorHAnsi"/>
          <w:sz w:val="20"/>
          <w:szCs w:val="20"/>
        </w:rPr>
        <w:t xml:space="preserve"> e com a </w:t>
      </w:r>
      <w:r w:rsidR="00590907">
        <w:rPr>
          <w:rFonts w:cstheme="minorHAnsi"/>
          <w:sz w:val="20"/>
          <w:szCs w:val="20"/>
        </w:rPr>
        <w:t>“</w:t>
      </w:r>
      <w:r w:rsidRPr="005441BB">
        <w:rPr>
          <w:rFonts w:cstheme="minorHAnsi"/>
          <w:sz w:val="20"/>
          <w:szCs w:val="20"/>
        </w:rPr>
        <w:t xml:space="preserve">QV </w:t>
      </w:r>
      <w:r w:rsidR="00590907">
        <w:rPr>
          <w:rFonts w:cstheme="minorHAnsi"/>
          <w:sz w:val="20"/>
          <w:szCs w:val="20"/>
        </w:rPr>
        <w:t>Global”</w:t>
      </w:r>
      <w:r w:rsidR="00EC293E">
        <w:rPr>
          <w:rFonts w:cstheme="minorHAnsi"/>
          <w:sz w:val="20"/>
          <w:szCs w:val="20"/>
        </w:rPr>
        <w:t>.</w:t>
      </w:r>
    </w:p>
    <w:p w:rsidR="00E17021" w:rsidRPr="005441BB" w:rsidRDefault="00E17021" w:rsidP="005441BB">
      <w:pPr>
        <w:spacing w:after="0" w:line="360" w:lineRule="auto"/>
        <w:ind w:left="360"/>
        <w:rPr>
          <w:rFonts w:cstheme="minorHAnsi"/>
          <w:sz w:val="20"/>
          <w:szCs w:val="20"/>
        </w:rPr>
      </w:pPr>
    </w:p>
    <w:p w:rsidR="00E17021" w:rsidRPr="00EB40C4" w:rsidRDefault="00E17021" w:rsidP="00EB40C4">
      <w:pPr>
        <w:pStyle w:val="PargrafodaLista"/>
        <w:numPr>
          <w:ilvl w:val="0"/>
          <w:numId w:val="10"/>
        </w:numPr>
        <w:spacing w:after="0" w:line="360" w:lineRule="auto"/>
        <w:ind w:left="567" w:hanging="207"/>
        <w:rPr>
          <w:rFonts w:cstheme="minorHAnsi"/>
          <w:i/>
          <w:sz w:val="20"/>
          <w:szCs w:val="20"/>
        </w:rPr>
      </w:pPr>
      <w:bookmarkStart w:id="66" w:name="_Toc338761990"/>
      <w:bookmarkStart w:id="67" w:name="_Toc338762139"/>
      <w:bookmarkStart w:id="68" w:name="_Toc338762501"/>
      <w:bookmarkStart w:id="69" w:name="_Toc338762720"/>
      <w:bookmarkStart w:id="70" w:name="_Toc338779022"/>
      <w:r w:rsidRPr="00EB40C4">
        <w:rPr>
          <w:rFonts w:cstheme="minorHAnsi"/>
          <w:i/>
          <w:sz w:val="20"/>
          <w:szCs w:val="20"/>
        </w:rPr>
        <w:t>Situação relativa aos consumos</w:t>
      </w:r>
      <w:bookmarkEnd w:id="66"/>
      <w:bookmarkEnd w:id="67"/>
      <w:bookmarkEnd w:id="68"/>
      <w:bookmarkEnd w:id="69"/>
      <w:bookmarkEnd w:id="70"/>
    </w:p>
    <w:p w:rsidR="00E17021" w:rsidRPr="005441BB" w:rsidRDefault="00E17021" w:rsidP="00EB40C4">
      <w:pPr>
        <w:spacing w:after="0" w:line="360" w:lineRule="auto"/>
        <w:ind w:left="284"/>
        <w:rPr>
          <w:rFonts w:cstheme="minorHAnsi"/>
          <w:sz w:val="20"/>
          <w:szCs w:val="20"/>
        </w:rPr>
      </w:pPr>
      <w:r w:rsidRPr="005441BB">
        <w:rPr>
          <w:rFonts w:cstheme="minorHAnsi"/>
          <w:sz w:val="20"/>
          <w:szCs w:val="20"/>
        </w:rPr>
        <w:t xml:space="preserve">Sabemos que apesar da recolha de dados ser realizada em contexto de tratamento de desabituação, nem todos os participantes do presente estudo se encontravam abstinentes. Assim, tivemos curiosidade de perceber se a sua situação em relação aos consumos, interferia na forma como os mesmos avaliavam a sua QV. Os resultados indicaram uma diferença estatisticamente significativa entre os grupos em análise para as </w:t>
      </w:r>
      <w:proofErr w:type="spellStart"/>
      <w:r w:rsidRPr="005441BB">
        <w:rPr>
          <w:rFonts w:cstheme="minorHAnsi"/>
          <w:sz w:val="20"/>
          <w:szCs w:val="20"/>
        </w:rPr>
        <w:t>subscalas</w:t>
      </w:r>
      <w:proofErr w:type="spellEnd"/>
      <w:r w:rsidRPr="005441BB">
        <w:rPr>
          <w:rFonts w:cstheme="minorHAnsi"/>
          <w:sz w:val="20"/>
          <w:szCs w:val="20"/>
        </w:rPr>
        <w:t xml:space="preserve"> </w:t>
      </w:r>
      <w:r w:rsidR="00590907">
        <w:rPr>
          <w:rFonts w:cstheme="minorHAnsi"/>
          <w:sz w:val="20"/>
          <w:szCs w:val="20"/>
        </w:rPr>
        <w:t>“S</w:t>
      </w:r>
      <w:r w:rsidRPr="005441BB">
        <w:rPr>
          <w:rFonts w:cstheme="minorHAnsi"/>
          <w:sz w:val="20"/>
          <w:szCs w:val="20"/>
        </w:rPr>
        <w:t>aúde</w:t>
      </w:r>
      <w:r w:rsidR="00590907">
        <w:rPr>
          <w:rFonts w:cstheme="minorHAnsi"/>
          <w:sz w:val="20"/>
          <w:szCs w:val="20"/>
        </w:rPr>
        <w:t xml:space="preserve"> e F</w:t>
      </w:r>
      <w:r w:rsidRPr="005441BB">
        <w:rPr>
          <w:rFonts w:cstheme="minorHAnsi"/>
          <w:sz w:val="20"/>
          <w:szCs w:val="20"/>
        </w:rPr>
        <w:t>uncionalidade</w:t>
      </w:r>
      <w:r w:rsidR="00590907">
        <w:rPr>
          <w:rFonts w:cstheme="minorHAnsi"/>
          <w:sz w:val="20"/>
          <w:szCs w:val="20"/>
        </w:rPr>
        <w:t>”</w:t>
      </w:r>
      <w:r w:rsidRPr="005441BB">
        <w:rPr>
          <w:rFonts w:cstheme="minorHAnsi"/>
          <w:sz w:val="20"/>
          <w:szCs w:val="20"/>
        </w:rPr>
        <w:t xml:space="preserve"> (F=5,59; p&lt;0,01), </w:t>
      </w:r>
      <w:r w:rsidR="00590907">
        <w:rPr>
          <w:rFonts w:cstheme="minorHAnsi"/>
          <w:sz w:val="20"/>
          <w:szCs w:val="20"/>
        </w:rPr>
        <w:t>“Psicológica e E</w:t>
      </w:r>
      <w:r w:rsidRPr="005441BB">
        <w:rPr>
          <w:rFonts w:cstheme="minorHAnsi"/>
          <w:sz w:val="20"/>
          <w:szCs w:val="20"/>
        </w:rPr>
        <w:t>spiritual</w:t>
      </w:r>
      <w:r w:rsidR="00590907">
        <w:rPr>
          <w:rFonts w:cstheme="minorHAnsi"/>
          <w:sz w:val="20"/>
          <w:szCs w:val="20"/>
        </w:rPr>
        <w:t>”</w:t>
      </w:r>
      <w:r w:rsidRPr="005441BB">
        <w:rPr>
          <w:rFonts w:cstheme="minorHAnsi"/>
          <w:sz w:val="20"/>
          <w:szCs w:val="20"/>
        </w:rPr>
        <w:t xml:space="preserve"> (</w:t>
      </w:r>
      <w:r w:rsidRPr="00EB6142">
        <w:rPr>
          <w:rFonts w:cstheme="minorHAnsi"/>
          <w:i/>
          <w:sz w:val="20"/>
          <w:szCs w:val="20"/>
        </w:rPr>
        <w:t>F=7,69; p&lt;0,01</w:t>
      </w:r>
      <w:r w:rsidRPr="005441BB">
        <w:rPr>
          <w:rFonts w:cstheme="minorHAnsi"/>
          <w:sz w:val="20"/>
          <w:szCs w:val="20"/>
        </w:rPr>
        <w:t xml:space="preserve">) e para a </w:t>
      </w:r>
      <w:r w:rsidR="00590907">
        <w:rPr>
          <w:rFonts w:cstheme="minorHAnsi"/>
          <w:sz w:val="20"/>
          <w:szCs w:val="20"/>
        </w:rPr>
        <w:t>“QV G</w:t>
      </w:r>
      <w:r w:rsidRPr="005441BB">
        <w:rPr>
          <w:rFonts w:cstheme="minorHAnsi"/>
          <w:sz w:val="20"/>
          <w:szCs w:val="20"/>
        </w:rPr>
        <w:t>lobal</w:t>
      </w:r>
      <w:r w:rsidR="00590907">
        <w:rPr>
          <w:rFonts w:cstheme="minorHAnsi"/>
          <w:sz w:val="20"/>
          <w:szCs w:val="20"/>
        </w:rPr>
        <w:t>”</w:t>
      </w:r>
      <w:r w:rsidRPr="005441BB">
        <w:rPr>
          <w:rFonts w:cstheme="minorHAnsi"/>
          <w:sz w:val="20"/>
          <w:szCs w:val="20"/>
        </w:rPr>
        <w:t xml:space="preserve"> (</w:t>
      </w:r>
      <w:r w:rsidRPr="00EB6142">
        <w:rPr>
          <w:rFonts w:cstheme="minorHAnsi"/>
          <w:i/>
          <w:sz w:val="20"/>
          <w:szCs w:val="20"/>
        </w:rPr>
        <w:t>F=7,74; p&lt;0,01</w:t>
      </w:r>
      <w:r w:rsidRPr="005441BB">
        <w:rPr>
          <w:rFonts w:cstheme="minorHAnsi"/>
          <w:sz w:val="20"/>
          <w:szCs w:val="20"/>
        </w:rPr>
        <w:t>), com uma diferença localizada entre os grupos “</w:t>
      </w:r>
      <w:r w:rsidRPr="005441BB">
        <w:rPr>
          <w:rFonts w:cstheme="minorHAnsi"/>
          <w:i/>
          <w:sz w:val="20"/>
          <w:szCs w:val="20"/>
        </w:rPr>
        <w:t>abstinente</w:t>
      </w:r>
      <w:r w:rsidRPr="005441BB">
        <w:rPr>
          <w:rFonts w:cstheme="minorHAnsi"/>
          <w:sz w:val="20"/>
          <w:szCs w:val="20"/>
        </w:rPr>
        <w:t>” e de “</w:t>
      </w:r>
      <w:r w:rsidRPr="005441BB">
        <w:rPr>
          <w:rFonts w:cstheme="minorHAnsi"/>
          <w:i/>
          <w:sz w:val="20"/>
          <w:szCs w:val="20"/>
        </w:rPr>
        <w:t>consumos diários</w:t>
      </w:r>
      <w:r w:rsidRPr="005441BB">
        <w:rPr>
          <w:rFonts w:cstheme="minorHAnsi"/>
          <w:sz w:val="20"/>
          <w:szCs w:val="20"/>
        </w:rPr>
        <w:t>”, desfavorável</w:t>
      </w:r>
      <w:r w:rsidR="00590907">
        <w:rPr>
          <w:rFonts w:cstheme="minorHAnsi"/>
          <w:sz w:val="20"/>
          <w:szCs w:val="20"/>
        </w:rPr>
        <w:t xml:space="preserve"> para o último</w:t>
      </w:r>
      <w:r w:rsidRPr="005441BB">
        <w:rPr>
          <w:rFonts w:cstheme="minorHAnsi"/>
          <w:sz w:val="20"/>
          <w:szCs w:val="20"/>
        </w:rPr>
        <w:t xml:space="preserve">. </w:t>
      </w:r>
    </w:p>
    <w:p w:rsidR="003F47C8" w:rsidRDefault="003F47C8" w:rsidP="00EB40C4">
      <w:pPr>
        <w:spacing w:after="0" w:line="360" w:lineRule="auto"/>
        <w:ind w:left="284"/>
        <w:rPr>
          <w:rFonts w:cstheme="minorHAnsi"/>
          <w:sz w:val="20"/>
          <w:szCs w:val="20"/>
        </w:rPr>
      </w:pPr>
    </w:p>
    <w:p w:rsidR="00E17021" w:rsidRPr="005441BB" w:rsidRDefault="00E17021" w:rsidP="00EB40C4">
      <w:pPr>
        <w:spacing w:after="0" w:line="360" w:lineRule="auto"/>
        <w:ind w:left="284"/>
        <w:rPr>
          <w:rFonts w:cstheme="minorHAnsi"/>
          <w:sz w:val="20"/>
          <w:szCs w:val="20"/>
        </w:rPr>
      </w:pPr>
      <w:r w:rsidRPr="005441BB">
        <w:rPr>
          <w:rFonts w:cstheme="minorHAnsi"/>
          <w:sz w:val="20"/>
          <w:szCs w:val="20"/>
        </w:rPr>
        <w:t xml:space="preserve">Por fim, e considerando as variáveis que se mostraram significativas nas análises anteriores (variáveis </w:t>
      </w:r>
      <w:proofErr w:type="spellStart"/>
      <w:r w:rsidRPr="005441BB">
        <w:rPr>
          <w:rFonts w:cstheme="minorHAnsi"/>
          <w:sz w:val="20"/>
          <w:szCs w:val="20"/>
        </w:rPr>
        <w:t>preditoras</w:t>
      </w:r>
      <w:proofErr w:type="spellEnd"/>
      <w:r w:rsidRPr="005441BB">
        <w:rPr>
          <w:rFonts w:cstheme="minorHAnsi"/>
          <w:sz w:val="20"/>
          <w:szCs w:val="20"/>
        </w:rPr>
        <w:t xml:space="preserve">), criamos um modelo de regressão linear múltipla (utilizando o método </w:t>
      </w:r>
      <w:proofErr w:type="spellStart"/>
      <w:r w:rsidRPr="005441BB">
        <w:rPr>
          <w:rFonts w:cstheme="minorHAnsi"/>
          <w:i/>
          <w:sz w:val="20"/>
          <w:szCs w:val="20"/>
        </w:rPr>
        <w:t>enter</w:t>
      </w:r>
      <w:proofErr w:type="spellEnd"/>
      <w:r w:rsidRPr="005441BB">
        <w:rPr>
          <w:rFonts w:cstheme="minorHAnsi"/>
          <w:sz w:val="20"/>
          <w:szCs w:val="20"/>
        </w:rPr>
        <w:t>), concluindo que o modelo explicava em 18% a variável resultado (</w:t>
      </w:r>
      <w:r w:rsidRPr="00EB6142">
        <w:rPr>
          <w:rFonts w:cstheme="minorHAnsi"/>
          <w:i/>
          <w:sz w:val="20"/>
          <w:szCs w:val="20"/>
        </w:rPr>
        <w:t>QLI com R</w:t>
      </w:r>
      <w:r w:rsidRPr="00EB6142">
        <w:rPr>
          <w:rFonts w:cstheme="minorHAnsi"/>
          <w:i/>
          <w:sz w:val="20"/>
          <w:szCs w:val="20"/>
          <w:vertAlign w:val="superscript"/>
        </w:rPr>
        <w:t>2</w:t>
      </w:r>
      <w:r w:rsidRPr="00EB6142">
        <w:rPr>
          <w:rFonts w:cstheme="minorHAnsi"/>
          <w:i/>
          <w:sz w:val="20"/>
          <w:szCs w:val="20"/>
        </w:rPr>
        <w:t>=0,18</w:t>
      </w:r>
      <w:r w:rsidRPr="005441BB">
        <w:rPr>
          <w:rFonts w:cstheme="minorHAnsi"/>
          <w:sz w:val="20"/>
          <w:szCs w:val="20"/>
        </w:rPr>
        <w:t>), sendo o sexo a variável com maior poder explicativo (</w:t>
      </w:r>
      <w:r w:rsidRPr="00EB6142">
        <w:rPr>
          <w:rFonts w:cstheme="minorHAnsi"/>
          <w:i/>
          <w:sz w:val="20"/>
          <w:szCs w:val="20"/>
        </w:rPr>
        <w:t>β=0,26; p=0,007</w:t>
      </w:r>
      <w:r w:rsidRPr="005441BB">
        <w:rPr>
          <w:rFonts w:cstheme="minorHAnsi"/>
          <w:sz w:val="20"/>
          <w:szCs w:val="20"/>
        </w:rPr>
        <w:t>), seguido do número de tratamentos de desabituação já realizados (</w:t>
      </w:r>
      <w:r w:rsidRPr="00EB6142">
        <w:rPr>
          <w:rFonts w:cstheme="minorHAnsi"/>
          <w:i/>
          <w:sz w:val="20"/>
          <w:szCs w:val="20"/>
        </w:rPr>
        <w:t>β=0,22; p=0,02</w:t>
      </w:r>
      <w:r w:rsidRPr="005441BB">
        <w:rPr>
          <w:rFonts w:cstheme="minorHAnsi"/>
          <w:sz w:val="20"/>
          <w:szCs w:val="20"/>
        </w:rPr>
        <w:t>).</w:t>
      </w:r>
    </w:p>
    <w:p w:rsidR="001F7792" w:rsidRPr="005441BB" w:rsidRDefault="001F7792" w:rsidP="005441BB">
      <w:pPr>
        <w:pStyle w:val="PargrafodaLista"/>
        <w:spacing w:after="0" w:line="360" w:lineRule="auto"/>
        <w:rPr>
          <w:rFonts w:eastAsia="Times New Roman" w:cstheme="minorHAnsi"/>
          <w:b/>
          <w:spacing w:val="5"/>
          <w:kern w:val="28"/>
          <w:sz w:val="20"/>
          <w:szCs w:val="20"/>
        </w:rPr>
      </w:pPr>
    </w:p>
    <w:p w:rsidR="003C4FCB" w:rsidRPr="005441BB" w:rsidRDefault="00543F68" w:rsidP="00EF4154">
      <w:pPr>
        <w:pStyle w:val="PargrafodaLista"/>
        <w:numPr>
          <w:ilvl w:val="0"/>
          <w:numId w:val="5"/>
        </w:numPr>
        <w:tabs>
          <w:tab w:val="left" w:pos="567"/>
        </w:tabs>
        <w:spacing w:after="0" w:line="360" w:lineRule="auto"/>
        <w:ind w:left="284" w:firstLine="0"/>
        <w:rPr>
          <w:rFonts w:eastAsia="Times New Roman" w:cstheme="minorHAnsi"/>
          <w:b/>
          <w:spacing w:val="5"/>
          <w:kern w:val="28"/>
          <w:sz w:val="20"/>
          <w:szCs w:val="20"/>
        </w:rPr>
      </w:pPr>
      <w:r w:rsidRPr="005441BB">
        <w:rPr>
          <w:rFonts w:eastAsia="Times New Roman" w:cstheme="minorHAnsi"/>
          <w:b/>
          <w:spacing w:val="5"/>
          <w:kern w:val="28"/>
          <w:sz w:val="20"/>
          <w:szCs w:val="20"/>
        </w:rPr>
        <w:t>DI</w:t>
      </w:r>
      <w:r w:rsidR="00905025" w:rsidRPr="005441BB">
        <w:rPr>
          <w:rFonts w:eastAsia="Times New Roman" w:cstheme="minorHAnsi"/>
          <w:b/>
          <w:spacing w:val="5"/>
          <w:kern w:val="28"/>
          <w:sz w:val="20"/>
          <w:szCs w:val="20"/>
        </w:rPr>
        <w:t>SCUSSÃO</w:t>
      </w:r>
    </w:p>
    <w:p w:rsidR="00E17021" w:rsidRPr="005441BB" w:rsidRDefault="00E17021" w:rsidP="00EF4154">
      <w:pPr>
        <w:tabs>
          <w:tab w:val="decimal" w:pos="284"/>
        </w:tabs>
        <w:spacing w:after="0" w:line="360" w:lineRule="auto"/>
        <w:ind w:left="284"/>
        <w:rPr>
          <w:rFonts w:cstheme="minorHAnsi"/>
          <w:color w:val="000000"/>
          <w:sz w:val="20"/>
          <w:szCs w:val="20"/>
        </w:rPr>
      </w:pPr>
      <w:r w:rsidRPr="005441BB">
        <w:rPr>
          <w:rFonts w:cstheme="minorHAnsi"/>
          <w:color w:val="000000"/>
          <w:sz w:val="20"/>
          <w:szCs w:val="20"/>
        </w:rPr>
        <w:t xml:space="preserve">Os participantes no presente estudo espelham uma realidade nacional de pessoas com elevados níveis de dependência de álcool e de outras drogas, muitas vezes em </w:t>
      </w:r>
      <w:proofErr w:type="spellStart"/>
      <w:r w:rsidRPr="005441BB">
        <w:rPr>
          <w:rFonts w:cstheme="minorHAnsi"/>
          <w:color w:val="000000"/>
          <w:sz w:val="20"/>
          <w:szCs w:val="20"/>
        </w:rPr>
        <w:t>policonsumos</w:t>
      </w:r>
      <w:proofErr w:type="spellEnd"/>
      <w:r w:rsidRPr="005441BB">
        <w:rPr>
          <w:rFonts w:cstheme="minorHAnsi"/>
          <w:color w:val="000000"/>
          <w:sz w:val="20"/>
          <w:szCs w:val="20"/>
        </w:rPr>
        <w:t xml:space="preserve">, que se arrastam ao longo de vários anos e com múltiplos tratamentos de desabituação que se mostraram ineficazes. </w:t>
      </w:r>
    </w:p>
    <w:p w:rsidR="00E17021" w:rsidRPr="005441BB" w:rsidRDefault="003F47C8" w:rsidP="00EF4154">
      <w:pPr>
        <w:tabs>
          <w:tab w:val="decimal" w:pos="284"/>
        </w:tabs>
        <w:spacing w:after="0" w:line="360" w:lineRule="auto"/>
        <w:ind w:left="284"/>
        <w:rPr>
          <w:rFonts w:cstheme="minorHAnsi"/>
          <w:color w:val="000000"/>
          <w:sz w:val="20"/>
          <w:szCs w:val="20"/>
        </w:rPr>
      </w:pPr>
      <w:r>
        <w:rPr>
          <w:rFonts w:cstheme="minorHAnsi"/>
          <w:color w:val="000000"/>
          <w:sz w:val="20"/>
          <w:szCs w:val="20"/>
        </w:rPr>
        <w:t>O</w:t>
      </w:r>
      <w:r w:rsidR="00E17021" w:rsidRPr="005441BB">
        <w:rPr>
          <w:rFonts w:cstheme="minorHAnsi"/>
          <w:color w:val="000000"/>
          <w:sz w:val="20"/>
          <w:szCs w:val="20"/>
        </w:rPr>
        <w:t xml:space="preserve"> álcool continua a ser a droga de eleição, consumida de forma iso</w:t>
      </w:r>
      <w:r>
        <w:rPr>
          <w:rFonts w:cstheme="minorHAnsi"/>
          <w:color w:val="000000"/>
          <w:sz w:val="20"/>
          <w:szCs w:val="20"/>
        </w:rPr>
        <w:t>lada ou em associação a outras</w:t>
      </w:r>
      <w:r w:rsidR="00FE3D22">
        <w:rPr>
          <w:rFonts w:cstheme="minorHAnsi"/>
          <w:color w:val="000000"/>
          <w:sz w:val="20"/>
          <w:szCs w:val="20"/>
        </w:rPr>
        <w:t>, f</w:t>
      </w:r>
      <w:r w:rsidR="00E17021" w:rsidRPr="005441BB">
        <w:rPr>
          <w:rFonts w:cstheme="minorHAnsi"/>
          <w:color w:val="000000"/>
          <w:sz w:val="20"/>
          <w:szCs w:val="20"/>
        </w:rPr>
        <w:t xml:space="preserve">acto </w:t>
      </w:r>
      <w:r w:rsidR="00FE3D22">
        <w:rPr>
          <w:rFonts w:cstheme="minorHAnsi"/>
          <w:color w:val="000000"/>
          <w:sz w:val="20"/>
          <w:szCs w:val="20"/>
        </w:rPr>
        <w:t>que poderá estar associado à sua</w:t>
      </w:r>
      <w:r w:rsidR="00E17021" w:rsidRPr="005441BB">
        <w:rPr>
          <w:rFonts w:cstheme="minorHAnsi"/>
          <w:color w:val="000000"/>
          <w:sz w:val="20"/>
          <w:szCs w:val="20"/>
        </w:rPr>
        <w:t xml:space="preserve"> aceitação social e </w:t>
      </w:r>
      <w:r w:rsidR="00FE3D22">
        <w:rPr>
          <w:rFonts w:cstheme="minorHAnsi"/>
          <w:color w:val="000000"/>
          <w:sz w:val="20"/>
          <w:szCs w:val="20"/>
        </w:rPr>
        <w:t xml:space="preserve">por ser </w:t>
      </w:r>
      <w:r w:rsidR="00E17021" w:rsidRPr="005441BB">
        <w:rPr>
          <w:rFonts w:cstheme="minorHAnsi"/>
          <w:color w:val="000000"/>
          <w:sz w:val="20"/>
          <w:szCs w:val="20"/>
        </w:rPr>
        <w:t>considerada como um fator de partilha e de convívio social (</w:t>
      </w:r>
      <w:r w:rsidR="00E17021" w:rsidRPr="005441BB">
        <w:rPr>
          <w:rFonts w:cstheme="minorHAnsi"/>
          <w:sz w:val="20"/>
          <w:szCs w:val="20"/>
        </w:rPr>
        <w:t>Lomba</w:t>
      </w:r>
      <w:r w:rsidR="005D6CB4">
        <w:rPr>
          <w:rFonts w:cstheme="minorHAnsi"/>
          <w:sz w:val="20"/>
          <w:szCs w:val="20"/>
        </w:rPr>
        <w:t xml:space="preserve"> </w:t>
      </w:r>
      <w:proofErr w:type="spellStart"/>
      <w:r w:rsidR="005D6CB4" w:rsidRPr="005D6CB4">
        <w:rPr>
          <w:rFonts w:cstheme="minorHAnsi"/>
          <w:i/>
          <w:sz w:val="20"/>
          <w:szCs w:val="20"/>
        </w:rPr>
        <w:t>et</w:t>
      </w:r>
      <w:proofErr w:type="spellEnd"/>
      <w:r w:rsidR="005D6CB4" w:rsidRPr="005D6CB4">
        <w:rPr>
          <w:rFonts w:cstheme="minorHAnsi"/>
          <w:i/>
          <w:sz w:val="20"/>
          <w:szCs w:val="20"/>
        </w:rPr>
        <w:t xml:space="preserve"> al.</w:t>
      </w:r>
      <w:r w:rsidR="00E17021" w:rsidRPr="005441BB">
        <w:rPr>
          <w:rFonts w:cstheme="minorHAnsi"/>
          <w:color w:val="000000"/>
          <w:sz w:val="20"/>
          <w:szCs w:val="20"/>
        </w:rPr>
        <w:t>, 2011).</w:t>
      </w:r>
    </w:p>
    <w:p w:rsidR="00E17021" w:rsidRPr="005441BB" w:rsidRDefault="00E17021" w:rsidP="00EF4154">
      <w:pPr>
        <w:tabs>
          <w:tab w:val="decimal" w:pos="284"/>
        </w:tabs>
        <w:spacing w:after="0" w:line="360" w:lineRule="auto"/>
        <w:ind w:left="284"/>
        <w:rPr>
          <w:rFonts w:cstheme="minorHAnsi"/>
          <w:sz w:val="20"/>
          <w:szCs w:val="20"/>
        </w:rPr>
      </w:pPr>
      <w:r w:rsidRPr="005441BB">
        <w:rPr>
          <w:rFonts w:cstheme="minorHAnsi"/>
          <w:color w:val="000000"/>
          <w:sz w:val="20"/>
          <w:szCs w:val="20"/>
        </w:rPr>
        <w:t>Como já foi referido</w:t>
      </w:r>
      <w:r w:rsidR="003F47C8">
        <w:rPr>
          <w:rFonts w:cstheme="minorHAnsi"/>
          <w:color w:val="000000"/>
          <w:sz w:val="20"/>
          <w:szCs w:val="20"/>
        </w:rPr>
        <w:t>,</w:t>
      </w:r>
      <w:r w:rsidRPr="005441BB">
        <w:rPr>
          <w:rFonts w:cstheme="minorHAnsi"/>
          <w:color w:val="000000"/>
          <w:sz w:val="20"/>
          <w:szCs w:val="20"/>
        </w:rPr>
        <w:t xml:space="preserve"> mais de metade da amostra (53%) </w:t>
      </w:r>
      <w:r w:rsidR="000F56DA">
        <w:rPr>
          <w:rFonts w:cstheme="minorHAnsi"/>
          <w:color w:val="000000"/>
          <w:sz w:val="20"/>
          <w:szCs w:val="20"/>
        </w:rPr>
        <w:t>mantinha</w:t>
      </w:r>
      <w:r w:rsidRPr="005441BB">
        <w:rPr>
          <w:rFonts w:cstheme="minorHAnsi"/>
          <w:color w:val="000000"/>
          <w:sz w:val="20"/>
          <w:szCs w:val="20"/>
        </w:rPr>
        <w:t xml:space="preserve"> consumos elevados de álcool e de outras drogas, o que indica uma baixa adesão ao tratamento </w:t>
      </w:r>
      <w:r w:rsidR="003F47C8">
        <w:rPr>
          <w:rFonts w:cstheme="minorHAnsi"/>
          <w:color w:val="000000"/>
          <w:sz w:val="20"/>
          <w:szCs w:val="20"/>
        </w:rPr>
        <w:t xml:space="preserve">que estava a ser </w:t>
      </w:r>
      <w:r w:rsidRPr="005441BB">
        <w:rPr>
          <w:rFonts w:cstheme="minorHAnsi"/>
          <w:color w:val="000000"/>
          <w:sz w:val="20"/>
          <w:szCs w:val="20"/>
        </w:rPr>
        <w:t xml:space="preserve">instituído. </w:t>
      </w:r>
      <w:r w:rsidRPr="005441BB">
        <w:rPr>
          <w:rFonts w:cstheme="minorHAnsi"/>
          <w:sz w:val="20"/>
          <w:szCs w:val="20"/>
        </w:rPr>
        <w:t xml:space="preserve">Também percebemos </w:t>
      </w:r>
      <w:r w:rsidR="000F56DA">
        <w:rPr>
          <w:rFonts w:cstheme="minorHAnsi"/>
          <w:sz w:val="20"/>
          <w:szCs w:val="20"/>
        </w:rPr>
        <w:t xml:space="preserve">que </w:t>
      </w:r>
      <w:r w:rsidR="000F56DA">
        <w:rPr>
          <w:rFonts w:cstheme="minorHAnsi"/>
          <w:sz w:val="20"/>
          <w:szCs w:val="20"/>
        </w:rPr>
        <w:lastRenderedPageBreak/>
        <w:t xml:space="preserve">a maioria da amostra </w:t>
      </w:r>
      <w:r w:rsidRPr="005441BB">
        <w:rPr>
          <w:rFonts w:cstheme="minorHAnsi"/>
          <w:sz w:val="20"/>
          <w:szCs w:val="20"/>
        </w:rPr>
        <w:t>tinha já realizado mais de um tratamento de desabituação, o que contribui para uma diminuição da sua autoeficácia, crença no locus de controlo interno necessário para resolver a situação e volição necessária para novos tratamentos (</w:t>
      </w:r>
      <w:r w:rsidR="005D6CB4">
        <w:rPr>
          <w:rFonts w:cstheme="minorHAnsi"/>
          <w:sz w:val="20"/>
          <w:szCs w:val="20"/>
        </w:rPr>
        <w:t xml:space="preserve">Moreira </w:t>
      </w:r>
      <w:proofErr w:type="spellStart"/>
      <w:r w:rsidR="005D6CB4" w:rsidRPr="005D6CB4">
        <w:rPr>
          <w:rFonts w:cstheme="minorHAnsi"/>
          <w:i/>
          <w:sz w:val="20"/>
          <w:szCs w:val="20"/>
        </w:rPr>
        <w:t>et</w:t>
      </w:r>
      <w:proofErr w:type="spellEnd"/>
      <w:r w:rsidR="005D6CB4" w:rsidRPr="005D6CB4">
        <w:rPr>
          <w:rFonts w:cstheme="minorHAnsi"/>
          <w:i/>
          <w:sz w:val="20"/>
          <w:szCs w:val="20"/>
        </w:rPr>
        <w:t xml:space="preserve"> al</w:t>
      </w:r>
      <w:r w:rsidR="005D6CB4">
        <w:rPr>
          <w:rFonts w:cstheme="minorHAnsi"/>
          <w:sz w:val="20"/>
          <w:szCs w:val="20"/>
        </w:rPr>
        <w:t>., 2013</w:t>
      </w:r>
      <w:r w:rsidRPr="005441BB">
        <w:rPr>
          <w:rFonts w:cstheme="minorHAnsi"/>
          <w:sz w:val="20"/>
          <w:szCs w:val="20"/>
        </w:rPr>
        <w:t xml:space="preserve">). </w:t>
      </w:r>
    </w:p>
    <w:p w:rsidR="00E17021" w:rsidRPr="005441BB" w:rsidRDefault="00333B29" w:rsidP="00EF4154">
      <w:pPr>
        <w:tabs>
          <w:tab w:val="decimal" w:pos="284"/>
        </w:tabs>
        <w:spacing w:after="0" w:line="360" w:lineRule="auto"/>
        <w:ind w:left="284"/>
        <w:rPr>
          <w:rFonts w:cstheme="minorHAnsi"/>
          <w:color w:val="000000"/>
          <w:sz w:val="20"/>
          <w:szCs w:val="20"/>
        </w:rPr>
      </w:pPr>
      <w:r>
        <w:rPr>
          <w:rFonts w:cstheme="minorHAnsi"/>
          <w:sz w:val="20"/>
          <w:szCs w:val="20"/>
        </w:rPr>
        <w:t>Percebemos</w:t>
      </w:r>
      <w:r w:rsidR="00E17021" w:rsidRPr="005441BB">
        <w:rPr>
          <w:rFonts w:cstheme="minorHAnsi"/>
          <w:sz w:val="20"/>
          <w:szCs w:val="20"/>
        </w:rPr>
        <w:t xml:space="preserve">, com base nos resultados </w:t>
      </w:r>
      <w:r>
        <w:rPr>
          <w:rFonts w:cstheme="minorHAnsi"/>
          <w:sz w:val="20"/>
          <w:szCs w:val="20"/>
        </w:rPr>
        <w:t>d</w:t>
      </w:r>
      <w:r w:rsidR="00E17021" w:rsidRPr="005441BB">
        <w:rPr>
          <w:rFonts w:cstheme="minorHAnsi"/>
          <w:sz w:val="20"/>
          <w:szCs w:val="20"/>
        </w:rPr>
        <w:t xml:space="preserve">o presente estudo, que a amostra iniciou consumos muito precocemente, nomeadamente na infância ou na adolescência, em especial </w:t>
      </w:r>
      <w:r w:rsidR="000F56DA">
        <w:rPr>
          <w:rFonts w:cstheme="minorHAnsi"/>
          <w:sz w:val="20"/>
          <w:szCs w:val="20"/>
        </w:rPr>
        <w:t>n</w:t>
      </w:r>
      <w:r w:rsidR="00E17021" w:rsidRPr="005441BB">
        <w:rPr>
          <w:rFonts w:cstheme="minorHAnsi"/>
          <w:sz w:val="20"/>
          <w:szCs w:val="20"/>
        </w:rPr>
        <w:t>o álcool. Estes resultados vão de encontro à literatura que descreve um início de consumos precoce, com a associação progressiva e concomitante de outras drogas (</w:t>
      </w:r>
      <w:r w:rsidR="00415C82" w:rsidRPr="00415C82">
        <w:rPr>
          <w:rFonts w:cstheme="minorHAnsi"/>
          <w:sz w:val="20"/>
          <w:szCs w:val="20"/>
        </w:rPr>
        <w:t>Silveira, Santos, &amp; Pereira</w:t>
      </w:r>
      <w:r w:rsidR="00F069A0" w:rsidRPr="005D6CB4">
        <w:rPr>
          <w:rFonts w:cstheme="minorHAnsi"/>
          <w:sz w:val="20"/>
          <w:szCs w:val="20"/>
        </w:rPr>
        <w:t>, 2014</w:t>
      </w:r>
      <w:r w:rsidR="00E17021" w:rsidRPr="005D6CB4">
        <w:rPr>
          <w:rFonts w:cstheme="minorHAnsi"/>
          <w:sz w:val="20"/>
          <w:szCs w:val="20"/>
        </w:rPr>
        <w:t>).</w:t>
      </w:r>
      <w:r w:rsidR="00E17021" w:rsidRPr="005441BB">
        <w:rPr>
          <w:rFonts w:cstheme="minorHAnsi"/>
          <w:sz w:val="20"/>
          <w:szCs w:val="20"/>
        </w:rPr>
        <w:t xml:space="preserve"> Não podemos esquecer ainda que a utilização de álcool está também associada a questões afetivas, nomeadamente estados emocionais negativos e conflitos </w:t>
      </w:r>
      <w:proofErr w:type="spellStart"/>
      <w:r w:rsidR="00E17021" w:rsidRPr="005441BB">
        <w:rPr>
          <w:rFonts w:cstheme="minorHAnsi"/>
          <w:sz w:val="20"/>
          <w:szCs w:val="20"/>
        </w:rPr>
        <w:t>intra</w:t>
      </w:r>
      <w:proofErr w:type="spellEnd"/>
      <w:r w:rsidR="00E17021" w:rsidRPr="005441BB">
        <w:rPr>
          <w:rFonts w:cstheme="minorHAnsi"/>
          <w:sz w:val="20"/>
          <w:szCs w:val="20"/>
        </w:rPr>
        <w:t xml:space="preserve"> e interpessoais, bem como </w:t>
      </w:r>
      <w:r w:rsidR="00E51843">
        <w:rPr>
          <w:rFonts w:cstheme="minorHAnsi"/>
          <w:sz w:val="20"/>
          <w:szCs w:val="20"/>
        </w:rPr>
        <w:t xml:space="preserve">a </w:t>
      </w:r>
      <w:r w:rsidR="00E17021" w:rsidRPr="005441BB">
        <w:rPr>
          <w:rFonts w:cstheme="minorHAnsi"/>
          <w:sz w:val="20"/>
          <w:szCs w:val="20"/>
        </w:rPr>
        <w:t>alguns fatores de cariz cultural (</w:t>
      </w:r>
      <w:r w:rsidR="002878B2">
        <w:rPr>
          <w:rFonts w:eastAsia="Times New Roman" w:cstheme="minorHAnsi"/>
          <w:sz w:val="20"/>
          <w:szCs w:val="20"/>
        </w:rPr>
        <w:t>APA</w:t>
      </w:r>
      <w:r w:rsidR="00E17021" w:rsidRPr="005441BB">
        <w:rPr>
          <w:rFonts w:eastAsia="Times New Roman" w:cstheme="minorHAnsi"/>
          <w:sz w:val="20"/>
          <w:szCs w:val="20"/>
        </w:rPr>
        <w:t>,</w:t>
      </w:r>
      <w:r w:rsidR="00E17021" w:rsidRPr="005441BB">
        <w:rPr>
          <w:rFonts w:cstheme="minorHAnsi"/>
          <w:color w:val="000000"/>
          <w:sz w:val="20"/>
          <w:szCs w:val="20"/>
        </w:rPr>
        <w:t xml:space="preserve"> 20</w:t>
      </w:r>
      <w:r w:rsidR="00590CF8">
        <w:rPr>
          <w:rFonts w:cstheme="minorHAnsi"/>
          <w:color w:val="000000"/>
          <w:sz w:val="20"/>
          <w:szCs w:val="20"/>
        </w:rPr>
        <w:t>14</w:t>
      </w:r>
      <w:r w:rsidR="00E17021" w:rsidRPr="005441BB">
        <w:rPr>
          <w:rFonts w:cstheme="minorHAnsi"/>
          <w:color w:val="000000"/>
          <w:sz w:val="20"/>
          <w:szCs w:val="20"/>
        </w:rPr>
        <w:t>).</w:t>
      </w:r>
    </w:p>
    <w:p w:rsidR="0064605D" w:rsidRDefault="00E51843" w:rsidP="00EF4154">
      <w:pPr>
        <w:tabs>
          <w:tab w:val="left" w:pos="4740"/>
        </w:tabs>
        <w:spacing w:after="0" w:line="360" w:lineRule="auto"/>
        <w:ind w:left="284"/>
        <w:rPr>
          <w:rFonts w:cstheme="minorHAnsi"/>
          <w:sz w:val="20"/>
          <w:szCs w:val="20"/>
        </w:rPr>
      </w:pPr>
      <w:r>
        <w:rPr>
          <w:rFonts w:cstheme="minorHAnsi"/>
          <w:sz w:val="20"/>
          <w:szCs w:val="20"/>
        </w:rPr>
        <w:t>A</w:t>
      </w:r>
      <w:r w:rsidR="00E17021" w:rsidRPr="005441BB">
        <w:rPr>
          <w:rFonts w:cstheme="minorHAnsi"/>
          <w:sz w:val="20"/>
          <w:szCs w:val="20"/>
        </w:rPr>
        <w:t xml:space="preserve"> </w:t>
      </w:r>
      <w:r>
        <w:rPr>
          <w:rFonts w:cstheme="minorHAnsi"/>
          <w:sz w:val="20"/>
          <w:szCs w:val="20"/>
        </w:rPr>
        <w:t xml:space="preserve">avaliação da </w:t>
      </w:r>
      <w:r w:rsidR="00E17021" w:rsidRPr="005441BB">
        <w:rPr>
          <w:rFonts w:cstheme="minorHAnsi"/>
          <w:sz w:val="20"/>
          <w:szCs w:val="20"/>
        </w:rPr>
        <w:t xml:space="preserve">perceção da amostra relativamente à sua QV com base no QLI </w:t>
      </w:r>
      <w:r>
        <w:rPr>
          <w:rFonts w:cstheme="minorHAnsi"/>
          <w:sz w:val="20"/>
          <w:szCs w:val="20"/>
        </w:rPr>
        <w:t>foi</w:t>
      </w:r>
      <w:r w:rsidR="00E17021" w:rsidRPr="005441BB">
        <w:rPr>
          <w:rFonts w:cstheme="minorHAnsi"/>
          <w:sz w:val="20"/>
          <w:szCs w:val="20"/>
        </w:rPr>
        <w:t xml:space="preserve">, na sua globalidade, muito positiva. De notar, no entanto, que a componente social e económica </w:t>
      </w:r>
      <w:r w:rsidR="000F56DA">
        <w:rPr>
          <w:rFonts w:cstheme="minorHAnsi"/>
          <w:sz w:val="20"/>
          <w:szCs w:val="20"/>
        </w:rPr>
        <w:t>foi a</w:t>
      </w:r>
      <w:r w:rsidR="00E17021" w:rsidRPr="005441BB">
        <w:rPr>
          <w:rFonts w:cstheme="minorHAnsi"/>
          <w:sz w:val="20"/>
          <w:szCs w:val="20"/>
        </w:rPr>
        <w:t xml:space="preserve"> que demonstrou uma menor satisfação, o que </w:t>
      </w:r>
      <w:r>
        <w:rPr>
          <w:rFonts w:cstheme="minorHAnsi"/>
          <w:sz w:val="20"/>
          <w:szCs w:val="20"/>
        </w:rPr>
        <w:t>era expectável, considerando as</w:t>
      </w:r>
      <w:r w:rsidR="00E17021" w:rsidRPr="005441BB">
        <w:rPr>
          <w:rFonts w:cstheme="minorHAnsi"/>
          <w:sz w:val="20"/>
          <w:szCs w:val="20"/>
        </w:rPr>
        <w:t xml:space="preserve"> características do grupo, essencialmente desempregado, cuja subsistência se fundava no subsídio de desemprego ou no rendimento social de inserção. Estes resultados vão ao encontro </w:t>
      </w:r>
      <w:r w:rsidR="0064605D">
        <w:rPr>
          <w:rFonts w:cstheme="minorHAnsi"/>
          <w:sz w:val="20"/>
          <w:szCs w:val="20"/>
        </w:rPr>
        <w:t>aos encontrados por Seabra</w:t>
      </w:r>
      <w:r w:rsidR="00415C82">
        <w:rPr>
          <w:rFonts w:cstheme="minorHAnsi"/>
          <w:sz w:val="20"/>
          <w:szCs w:val="20"/>
        </w:rPr>
        <w:t>, Amendoeira e Sá</w:t>
      </w:r>
      <w:r>
        <w:rPr>
          <w:rFonts w:cstheme="minorHAnsi"/>
          <w:sz w:val="20"/>
          <w:szCs w:val="20"/>
        </w:rPr>
        <w:t xml:space="preserve"> (2013) numa população similar,</w:t>
      </w:r>
      <w:r w:rsidR="0064605D">
        <w:rPr>
          <w:rFonts w:cstheme="minorHAnsi"/>
          <w:sz w:val="20"/>
          <w:szCs w:val="20"/>
        </w:rPr>
        <w:t xml:space="preserve"> embora</w:t>
      </w:r>
      <w:r>
        <w:rPr>
          <w:rFonts w:cstheme="minorHAnsi"/>
          <w:sz w:val="20"/>
          <w:szCs w:val="20"/>
        </w:rPr>
        <w:t>,</w:t>
      </w:r>
      <w:r w:rsidR="0064605D">
        <w:rPr>
          <w:rFonts w:cstheme="minorHAnsi"/>
          <w:sz w:val="20"/>
          <w:szCs w:val="20"/>
        </w:rPr>
        <w:t xml:space="preserve"> </w:t>
      </w:r>
      <w:r>
        <w:rPr>
          <w:rFonts w:cstheme="minorHAnsi"/>
          <w:sz w:val="20"/>
          <w:szCs w:val="20"/>
        </w:rPr>
        <w:t xml:space="preserve">no presente estudo, </w:t>
      </w:r>
      <w:r w:rsidR="0064605D">
        <w:rPr>
          <w:rFonts w:cstheme="minorHAnsi"/>
          <w:sz w:val="20"/>
          <w:szCs w:val="20"/>
        </w:rPr>
        <w:t>devam ser interpretados com alguma cautela considerando</w:t>
      </w:r>
      <w:r>
        <w:rPr>
          <w:rFonts w:cstheme="minorHAnsi"/>
          <w:sz w:val="20"/>
          <w:szCs w:val="20"/>
        </w:rPr>
        <w:t xml:space="preserve"> que o instrumento </w:t>
      </w:r>
      <w:r w:rsidR="0064605D">
        <w:rPr>
          <w:rFonts w:cstheme="minorHAnsi"/>
          <w:sz w:val="20"/>
          <w:szCs w:val="20"/>
        </w:rPr>
        <w:t>não é especifico para a população estudada.</w:t>
      </w:r>
    </w:p>
    <w:p w:rsidR="00E17021" w:rsidRPr="005441BB" w:rsidRDefault="00E17021" w:rsidP="00EF4154">
      <w:pPr>
        <w:tabs>
          <w:tab w:val="left" w:pos="4740"/>
        </w:tabs>
        <w:spacing w:after="0" w:line="360" w:lineRule="auto"/>
        <w:ind w:left="284"/>
        <w:rPr>
          <w:rFonts w:cstheme="minorHAnsi"/>
          <w:sz w:val="20"/>
          <w:szCs w:val="20"/>
        </w:rPr>
      </w:pPr>
      <w:r w:rsidRPr="005441BB">
        <w:rPr>
          <w:rFonts w:cstheme="minorHAnsi"/>
          <w:sz w:val="20"/>
          <w:szCs w:val="20"/>
        </w:rPr>
        <w:t>Por outro lado, alguns estudos longitudinais indicam que a perceção de QV vai melhorando ao longo do tempo, nomeadamente entre os três e os seis meses</w:t>
      </w:r>
      <w:r w:rsidR="00E51843" w:rsidRPr="00E51843">
        <w:rPr>
          <w:rFonts w:cstheme="minorHAnsi"/>
          <w:sz w:val="20"/>
          <w:szCs w:val="20"/>
        </w:rPr>
        <w:t xml:space="preserve"> </w:t>
      </w:r>
      <w:r w:rsidR="00E51843" w:rsidRPr="005441BB">
        <w:rPr>
          <w:rFonts w:cstheme="minorHAnsi"/>
          <w:sz w:val="20"/>
          <w:szCs w:val="20"/>
        </w:rPr>
        <w:t>após tratamento</w:t>
      </w:r>
      <w:r w:rsidRPr="005441BB">
        <w:rPr>
          <w:rFonts w:cstheme="minorHAnsi"/>
          <w:sz w:val="20"/>
          <w:szCs w:val="20"/>
        </w:rPr>
        <w:t xml:space="preserve">, desacelerando </w:t>
      </w:r>
      <w:r w:rsidR="00E51843">
        <w:rPr>
          <w:rFonts w:cstheme="minorHAnsi"/>
          <w:sz w:val="20"/>
          <w:szCs w:val="20"/>
        </w:rPr>
        <w:t>depois</w:t>
      </w:r>
      <w:r w:rsidRPr="005441BB">
        <w:rPr>
          <w:rFonts w:cstheme="minorHAnsi"/>
          <w:sz w:val="20"/>
          <w:szCs w:val="20"/>
        </w:rPr>
        <w:t xml:space="preserve"> (</w:t>
      </w:r>
      <w:proofErr w:type="spellStart"/>
      <w:r w:rsidRPr="005441BB">
        <w:rPr>
          <w:rFonts w:cstheme="minorHAnsi"/>
          <w:sz w:val="20"/>
          <w:szCs w:val="20"/>
        </w:rPr>
        <w:t>Tran</w:t>
      </w:r>
      <w:proofErr w:type="spellEnd"/>
      <w:r w:rsidRPr="005441BB">
        <w:rPr>
          <w:rFonts w:cstheme="minorHAnsi"/>
          <w:sz w:val="20"/>
          <w:szCs w:val="20"/>
        </w:rPr>
        <w:t xml:space="preserve"> </w:t>
      </w:r>
      <w:proofErr w:type="spellStart"/>
      <w:r w:rsidRPr="005441BB">
        <w:rPr>
          <w:rFonts w:cstheme="minorHAnsi"/>
          <w:i/>
          <w:sz w:val="20"/>
          <w:szCs w:val="20"/>
        </w:rPr>
        <w:t>et</w:t>
      </w:r>
      <w:proofErr w:type="spellEnd"/>
      <w:r w:rsidRPr="005441BB">
        <w:rPr>
          <w:rFonts w:cstheme="minorHAnsi"/>
          <w:i/>
          <w:sz w:val="20"/>
          <w:szCs w:val="20"/>
        </w:rPr>
        <w:t xml:space="preserve"> al.</w:t>
      </w:r>
      <w:r w:rsidRPr="005441BB">
        <w:rPr>
          <w:rFonts w:cstheme="minorHAnsi"/>
          <w:sz w:val="20"/>
          <w:szCs w:val="20"/>
        </w:rPr>
        <w:t xml:space="preserve">, 2012). Este pode ser um aspeto que explique, pelo menos parcialmente, os resultados encontrados no presente estudo, uma vez que a amostra é composta por 28 indivíduos (26%) que se encontravam em abstinência por um período inferior a seis meses e 23 (21%) há mais de seis meses. No entanto, o número de participantes que mantinham consumos era muito elevado, o que não joga a favor desta explicação. </w:t>
      </w:r>
    </w:p>
    <w:p w:rsidR="00E17021" w:rsidRPr="005441BB" w:rsidRDefault="00E17021" w:rsidP="00EF4154">
      <w:pPr>
        <w:tabs>
          <w:tab w:val="left" w:pos="4740"/>
        </w:tabs>
        <w:spacing w:after="0" w:line="360" w:lineRule="auto"/>
        <w:ind w:left="284"/>
        <w:rPr>
          <w:rFonts w:cstheme="minorHAnsi"/>
          <w:sz w:val="20"/>
          <w:szCs w:val="20"/>
        </w:rPr>
      </w:pPr>
      <w:r w:rsidRPr="005441BB">
        <w:rPr>
          <w:rFonts w:cstheme="minorHAnsi"/>
          <w:sz w:val="20"/>
          <w:szCs w:val="20"/>
        </w:rPr>
        <w:t>Os resultados do presente estudo indicaram ainda que</w:t>
      </w:r>
      <w:r w:rsidR="000F56DA" w:rsidRPr="000F56DA">
        <w:rPr>
          <w:rFonts w:cstheme="minorHAnsi"/>
          <w:sz w:val="20"/>
          <w:szCs w:val="20"/>
        </w:rPr>
        <w:t xml:space="preserve"> </w:t>
      </w:r>
      <w:r w:rsidR="000F56DA" w:rsidRPr="005441BB">
        <w:rPr>
          <w:rFonts w:cstheme="minorHAnsi"/>
          <w:sz w:val="20"/>
          <w:szCs w:val="20"/>
        </w:rPr>
        <w:t xml:space="preserve">a sua perceção de QV </w:t>
      </w:r>
      <w:r w:rsidR="000F56DA">
        <w:rPr>
          <w:rFonts w:cstheme="minorHAnsi"/>
          <w:sz w:val="20"/>
          <w:szCs w:val="20"/>
        </w:rPr>
        <w:t>era independente</w:t>
      </w:r>
      <w:r w:rsidRPr="005441BB">
        <w:rPr>
          <w:rFonts w:cstheme="minorHAnsi"/>
          <w:sz w:val="20"/>
          <w:szCs w:val="20"/>
        </w:rPr>
        <w:t xml:space="preserve"> da</w:t>
      </w:r>
      <w:r w:rsidR="00E51843">
        <w:rPr>
          <w:rFonts w:cstheme="minorHAnsi"/>
          <w:sz w:val="20"/>
          <w:szCs w:val="20"/>
        </w:rPr>
        <w:t>/s</w:t>
      </w:r>
      <w:r w:rsidRPr="005441BB">
        <w:rPr>
          <w:rFonts w:cstheme="minorHAnsi"/>
          <w:sz w:val="20"/>
          <w:szCs w:val="20"/>
        </w:rPr>
        <w:t xml:space="preserve"> droga</w:t>
      </w:r>
      <w:r w:rsidR="00E51843">
        <w:rPr>
          <w:rFonts w:cstheme="minorHAnsi"/>
          <w:sz w:val="20"/>
          <w:szCs w:val="20"/>
        </w:rPr>
        <w:t>/s</w:t>
      </w:r>
      <w:r w:rsidRPr="005441BB">
        <w:rPr>
          <w:rFonts w:cstheme="minorHAnsi"/>
          <w:sz w:val="20"/>
          <w:szCs w:val="20"/>
        </w:rPr>
        <w:t xml:space="preserve"> </w:t>
      </w:r>
      <w:r w:rsidR="000F56DA">
        <w:rPr>
          <w:rFonts w:cstheme="minorHAnsi"/>
          <w:sz w:val="20"/>
          <w:szCs w:val="20"/>
        </w:rPr>
        <w:t>consumidas</w:t>
      </w:r>
      <w:r w:rsidRPr="005441BB">
        <w:rPr>
          <w:rFonts w:cstheme="minorHAnsi"/>
          <w:sz w:val="20"/>
          <w:szCs w:val="20"/>
        </w:rPr>
        <w:t xml:space="preserve">. Esta constatação poderá </w:t>
      </w:r>
      <w:r w:rsidR="000F56DA">
        <w:rPr>
          <w:rFonts w:cstheme="minorHAnsi"/>
          <w:sz w:val="20"/>
          <w:szCs w:val="20"/>
        </w:rPr>
        <w:t>estar associada a</w:t>
      </w:r>
      <w:r w:rsidRPr="005441BB">
        <w:rPr>
          <w:rFonts w:cstheme="minorHAnsi"/>
          <w:sz w:val="20"/>
          <w:szCs w:val="20"/>
        </w:rPr>
        <w:t xml:space="preserve">o facto da QV ser um conceito individual e multidimensional, muito determinado por fatores fisiológicos, mas também os psicossociais. </w:t>
      </w:r>
      <w:r w:rsidRPr="005441BB">
        <w:rPr>
          <w:rFonts w:eastAsia="Calibri" w:cstheme="minorHAnsi"/>
          <w:sz w:val="20"/>
          <w:szCs w:val="20"/>
        </w:rPr>
        <w:t xml:space="preserve">Apesar de serem drogas com efeitos diferentes, o processo de dependência, tolerância e </w:t>
      </w:r>
      <w:proofErr w:type="spellStart"/>
      <w:r w:rsidRPr="005441BB">
        <w:rPr>
          <w:rFonts w:eastAsia="Calibri" w:cstheme="minorHAnsi"/>
          <w:i/>
          <w:sz w:val="20"/>
          <w:szCs w:val="20"/>
        </w:rPr>
        <w:t>craving</w:t>
      </w:r>
      <w:proofErr w:type="spellEnd"/>
      <w:r w:rsidRPr="005441BB">
        <w:rPr>
          <w:rFonts w:eastAsia="Calibri" w:cstheme="minorHAnsi"/>
          <w:sz w:val="20"/>
          <w:szCs w:val="20"/>
        </w:rPr>
        <w:t xml:space="preserve"> é, na sua essência, muito similar, o que pode </w:t>
      </w:r>
      <w:r w:rsidR="000F56DA">
        <w:rPr>
          <w:rFonts w:eastAsia="Calibri" w:cstheme="minorHAnsi"/>
          <w:sz w:val="20"/>
          <w:szCs w:val="20"/>
        </w:rPr>
        <w:t>ter determinado os efeitos encontrados.</w:t>
      </w:r>
    </w:p>
    <w:p w:rsidR="00E17021" w:rsidRPr="005441BB" w:rsidRDefault="000F56DA" w:rsidP="00EF4154">
      <w:pPr>
        <w:tabs>
          <w:tab w:val="left" w:pos="4740"/>
        </w:tabs>
        <w:spacing w:after="0" w:line="360" w:lineRule="auto"/>
        <w:ind w:left="284"/>
        <w:rPr>
          <w:rFonts w:cstheme="minorHAnsi"/>
          <w:sz w:val="20"/>
          <w:szCs w:val="20"/>
        </w:rPr>
      </w:pPr>
      <w:r>
        <w:rPr>
          <w:rFonts w:cstheme="minorHAnsi"/>
          <w:sz w:val="20"/>
          <w:szCs w:val="20"/>
        </w:rPr>
        <w:t>As</w:t>
      </w:r>
      <w:r w:rsidR="00E17021" w:rsidRPr="005441BB">
        <w:rPr>
          <w:rFonts w:cstheme="minorHAnsi"/>
          <w:sz w:val="20"/>
          <w:szCs w:val="20"/>
        </w:rPr>
        <w:t xml:space="preserve"> mulheres apresentavam uma perceção de QV inferior à dos homens em praticamente todos os domínios do QLI</w:t>
      </w:r>
      <w:r w:rsidR="00E51843">
        <w:rPr>
          <w:rFonts w:cstheme="minorHAnsi"/>
          <w:sz w:val="20"/>
          <w:szCs w:val="20"/>
        </w:rPr>
        <w:t xml:space="preserve">, </w:t>
      </w:r>
      <w:r w:rsidR="00E17021" w:rsidRPr="005441BB">
        <w:rPr>
          <w:rFonts w:cstheme="minorHAnsi"/>
          <w:sz w:val="20"/>
          <w:szCs w:val="20"/>
        </w:rPr>
        <w:t xml:space="preserve">resultados </w:t>
      </w:r>
      <w:r w:rsidR="00E51843">
        <w:rPr>
          <w:rFonts w:cstheme="minorHAnsi"/>
          <w:sz w:val="20"/>
          <w:szCs w:val="20"/>
        </w:rPr>
        <w:t>concordantes com os de</w:t>
      </w:r>
      <w:r w:rsidR="00E17021" w:rsidRPr="005441BB">
        <w:rPr>
          <w:rFonts w:cstheme="minorHAnsi"/>
          <w:sz w:val="20"/>
          <w:szCs w:val="20"/>
        </w:rPr>
        <w:t xml:space="preserve"> Domingo-</w:t>
      </w:r>
      <w:proofErr w:type="spellStart"/>
      <w:r w:rsidR="00E17021" w:rsidRPr="005441BB">
        <w:rPr>
          <w:rFonts w:cstheme="minorHAnsi"/>
          <w:sz w:val="20"/>
          <w:szCs w:val="20"/>
        </w:rPr>
        <w:t>Salvany</w:t>
      </w:r>
      <w:proofErr w:type="spellEnd"/>
      <w:r w:rsidR="00E17021" w:rsidRPr="005441BB">
        <w:rPr>
          <w:rFonts w:cstheme="minorHAnsi"/>
          <w:sz w:val="20"/>
          <w:szCs w:val="20"/>
        </w:rPr>
        <w:t xml:space="preserve"> </w:t>
      </w:r>
      <w:proofErr w:type="spellStart"/>
      <w:r w:rsidR="00E17021" w:rsidRPr="00E51843">
        <w:rPr>
          <w:rFonts w:cstheme="minorHAnsi"/>
          <w:i/>
          <w:sz w:val="20"/>
          <w:szCs w:val="20"/>
        </w:rPr>
        <w:t>et</w:t>
      </w:r>
      <w:proofErr w:type="spellEnd"/>
      <w:r w:rsidR="00E17021" w:rsidRPr="00E51843">
        <w:rPr>
          <w:rFonts w:cstheme="minorHAnsi"/>
          <w:i/>
          <w:sz w:val="20"/>
          <w:szCs w:val="20"/>
        </w:rPr>
        <w:t xml:space="preserve"> al.</w:t>
      </w:r>
      <w:r w:rsidR="00E17021" w:rsidRPr="005441BB">
        <w:rPr>
          <w:rFonts w:cstheme="minorHAnsi"/>
          <w:sz w:val="20"/>
          <w:szCs w:val="20"/>
        </w:rPr>
        <w:t xml:space="preserve"> (2010) com jovens </w:t>
      </w:r>
      <w:proofErr w:type="spellStart"/>
      <w:r w:rsidR="00E17021" w:rsidRPr="005441BB">
        <w:rPr>
          <w:rFonts w:cstheme="minorHAnsi"/>
          <w:sz w:val="20"/>
          <w:szCs w:val="20"/>
        </w:rPr>
        <w:t>heroinodependentes</w:t>
      </w:r>
      <w:proofErr w:type="spellEnd"/>
      <w:r w:rsidR="00E51843">
        <w:rPr>
          <w:rFonts w:cstheme="minorHAnsi"/>
          <w:sz w:val="20"/>
          <w:szCs w:val="20"/>
        </w:rPr>
        <w:t>,</w:t>
      </w:r>
      <w:r w:rsidR="00E17021" w:rsidRPr="005441BB">
        <w:rPr>
          <w:rFonts w:cstheme="minorHAnsi"/>
          <w:sz w:val="20"/>
          <w:szCs w:val="20"/>
        </w:rPr>
        <w:t xml:space="preserve"> não seguidos em tratamento de desabituação.</w:t>
      </w:r>
      <w:r w:rsidR="00E51843">
        <w:rPr>
          <w:rFonts w:cstheme="minorHAnsi"/>
          <w:sz w:val="20"/>
          <w:szCs w:val="20"/>
        </w:rPr>
        <w:t xml:space="preserve"> </w:t>
      </w:r>
      <w:r w:rsidR="00E17021" w:rsidRPr="005441BB">
        <w:rPr>
          <w:rFonts w:cstheme="minorHAnsi"/>
          <w:sz w:val="20"/>
          <w:szCs w:val="20"/>
        </w:rPr>
        <w:t xml:space="preserve">Em contrapartida, a presente investigação obteve resultados contraditórios com o </w:t>
      </w:r>
      <w:r w:rsidR="00E51843">
        <w:rPr>
          <w:rFonts w:cstheme="minorHAnsi"/>
          <w:sz w:val="20"/>
          <w:szCs w:val="20"/>
        </w:rPr>
        <w:t xml:space="preserve">estudo </w:t>
      </w:r>
      <w:r w:rsidR="00E17021" w:rsidRPr="005441BB">
        <w:rPr>
          <w:rFonts w:cstheme="minorHAnsi"/>
          <w:sz w:val="20"/>
          <w:szCs w:val="20"/>
        </w:rPr>
        <w:t>anterior</w:t>
      </w:r>
      <w:r w:rsidR="00E51843">
        <w:rPr>
          <w:rFonts w:cstheme="minorHAnsi"/>
          <w:sz w:val="20"/>
          <w:szCs w:val="20"/>
        </w:rPr>
        <w:t>,</w:t>
      </w:r>
      <w:r w:rsidR="00E17021" w:rsidRPr="005441BB">
        <w:rPr>
          <w:rFonts w:cstheme="minorHAnsi"/>
          <w:sz w:val="20"/>
          <w:szCs w:val="20"/>
        </w:rPr>
        <w:t xml:space="preserve"> no que concerne à variável escolaridade, pois enquanto que nesse estudo, a escolaridade é favorecedora de uma melhor perceção de QV, no presente estudo ela é prejudicial, nomeadamente na sua componente psicológica e espiritual. No entanto, os resultados de</w:t>
      </w:r>
      <w:r w:rsidR="003C2ED2">
        <w:rPr>
          <w:rFonts w:cstheme="minorHAnsi"/>
          <w:sz w:val="20"/>
          <w:szCs w:val="20"/>
        </w:rPr>
        <w:t xml:space="preserve"> alguns </w:t>
      </w:r>
      <w:r w:rsidR="00E17021" w:rsidRPr="005441BB">
        <w:rPr>
          <w:rFonts w:cstheme="minorHAnsi"/>
          <w:sz w:val="20"/>
          <w:szCs w:val="20"/>
        </w:rPr>
        <w:t xml:space="preserve">estudos (Becker, </w:t>
      </w:r>
      <w:proofErr w:type="spellStart"/>
      <w:r w:rsidR="00E17021" w:rsidRPr="005441BB">
        <w:rPr>
          <w:rFonts w:cstheme="minorHAnsi"/>
          <w:sz w:val="20"/>
          <w:szCs w:val="20"/>
        </w:rPr>
        <w:t>Curry</w:t>
      </w:r>
      <w:proofErr w:type="spellEnd"/>
      <w:r w:rsidR="00E17021" w:rsidRPr="005441BB">
        <w:rPr>
          <w:rFonts w:cstheme="minorHAnsi"/>
          <w:sz w:val="20"/>
          <w:szCs w:val="20"/>
        </w:rPr>
        <w:t xml:space="preserve"> &amp; Yang, 2011; Domingo-</w:t>
      </w:r>
      <w:proofErr w:type="spellStart"/>
      <w:r w:rsidR="00E17021" w:rsidRPr="005441BB">
        <w:rPr>
          <w:rFonts w:cstheme="minorHAnsi"/>
          <w:sz w:val="20"/>
          <w:szCs w:val="20"/>
        </w:rPr>
        <w:t>Salvany</w:t>
      </w:r>
      <w:proofErr w:type="spellEnd"/>
      <w:r w:rsidR="00E17021" w:rsidRPr="005441BB">
        <w:rPr>
          <w:rFonts w:cstheme="minorHAnsi"/>
          <w:sz w:val="20"/>
          <w:szCs w:val="20"/>
        </w:rPr>
        <w:t xml:space="preserve"> </w:t>
      </w:r>
      <w:proofErr w:type="spellStart"/>
      <w:r w:rsidR="00E17021" w:rsidRPr="005441BB">
        <w:rPr>
          <w:rFonts w:cstheme="minorHAnsi"/>
          <w:i/>
          <w:sz w:val="20"/>
          <w:szCs w:val="20"/>
        </w:rPr>
        <w:t>et</w:t>
      </w:r>
      <w:proofErr w:type="spellEnd"/>
      <w:r w:rsidR="00E17021" w:rsidRPr="005441BB">
        <w:rPr>
          <w:rFonts w:cstheme="minorHAnsi"/>
          <w:i/>
          <w:sz w:val="20"/>
          <w:szCs w:val="20"/>
        </w:rPr>
        <w:t xml:space="preserve"> al.</w:t>
      </w:r>
      <w:r w:rsidR="00935FD8">
        <w:rPr>
          <w:rFonts w:cstheme="minorHAnsi"/>
          <w:sz w:val="20"/>
          <w:szCs w:val="20"/>
        </w:rPr>
        <w:t>, 2010</w:t>
      </w:r>
      <w:r w:rsidR="00E17021" w:rsidRPr="005441BB">
        <w:rPr>
          <w:rFonts w:cstheme="minorHAnsi"/>
          <w:sz w:val="20"/>
          <w:szCs w:val="20"/>
        </w:rPr>
        <w:t>) são sobreponíveis com o presente, no que se refere à ocupação dos participantes e coabitação, tendo os desempregados</w:t>
      </w:r>
      <w:r>
        <w:rPr>
          <w:rFonts w:cstheme="minorHAnsi"/>
          <w:sz w:val="20"/>
          <w:szCs w:val="20"/>
        </w:rPr>
        <w:t xml:space="preserve">, </w:t>
      </w:r>
      <w:r w:rsidR="00E17021" w:rsidRPr="005441BB">
        <w:rPr>
          <w:rFonts w:cstheme="minorHAnsi"/>
          <w:sz w:val="20"/>
          <w:szCs w:val="20"/>
        </w:rPr>
        <w:t xml:space="preserve">os reformados, e </w:t>
      </w:r>
      <w:r>
        <w:rPr>
          <w:rFonts w:cstheme="minorHAnsi"/>
          <w:sz w:val="20"/>
          <w:szCs w:val="20"/>
        </w:rPr>
        <w:t xml:space="preserve">os </w:t>
      </w:r>
      <w:r w:rsidR="00E17021" w:rsidRPr="005441BB">
        <w:rPr>
          <w:rFonts w:cstheme="minorHAnsi"/>
          <w:sz w:val="20"/>
          <w:szCs w:val="20"/>
        </w:rPr>
        <w:t>que vivem sós, apresentado uma</w:t>
      </w:r>
      <w:r w:rsidR="003C2ED2">
        <w:rPr>
          <w:rFonts w:cstheme="minorHAnsi"/>
          <w:sz w:val="20"/>
          <w:szCs w:val="20"/>
        </w:rPr>
        <w:t xml:space="preserve"> pior perceção de QV</w:t>
      </w:r>
      <w:r w:rsidR="00E17021" w:rsidRPr="005441BB">
        <w:rPr>
          <w:rFonts w:cstheme="minorHAnsi"/>
          <w:sz w:val="20"/>
          <w:szCs w:val="20"/>
        </w:rPr>
        <w:t xml:space="preserve">. </w:t>
      </w:r>
    </w:p>
    <w:p w:rsidR="00E17021" w:rsidRPr="005441BB" w:rsidRDefault="00E17021" w:rsidP="00385E51">
      <w:pPr>
        <w:tabs>
          <w:tab w:val="left" w:pos="4740"/>
        </w:tabs>
        <w:spacing w:after="0" w:line="360" w:lineRule="auto"/>
        <w:ind w:left="284"/>
        <w:rPr>
          <w:rFonts w:cstheme="minorHAnsi"/>
          <w:sz w:val="20"/>
          <w:szCs w:val="20"/>
        </w:rPr>
      </w:pPr>
      <w:r w:rsidRPr="005441BB">
        <w:rPr>
          <w:rFonts w:cstheme="minorHAnsi"/>
          <w:sz w:val="20"/>
          <w:szCs w:val="20"/>
        </w:rPr>
        <w:t xml:space="preserve">Os resultados indicaram ainda que o tempo de abstinência após o tratamento favorece uma melhor avaliação da QV, nomeadamente em termos de funcionalidade, e na componente psicológica e espiritual, o </w:t>
      </w:r>
      <w:r w:rsidRPr="005441BB">
        <w:rPr>
          <w:rFonts w:cstheme="minorHAnsi"/>
          <w:sz w:val="20"/>
          <w:szCs w:val="20"/>
        </w:rPr>
        <w:lastRenderedPageBreak/>
        <w:t>que está de acordo com um conjunto de estudos desenvolvidos nesta área (</w:t>
      </w:r>
      <w:proofErr w:type="spellStart"/>
      <w:r w:rsidR="00EB7DE4">
        <w:rPr>
          <w:rFonts w:cstheme="minorHAnsi"/>
          <w:sz w:val="20"/>
          <w:szCs w:val="20"/>
        </w:rPr>
        <w:t>Maeyer</w:t>
      </w:r>
      <w:proofErr w:type="spellEnd"/>
      <w:r w:rsidR="00EB7DE4">
        <w:rPr>
          <w:rFonts w:cstheme="minorHAnsi"/>
          <w:sz w:val="20"/>
          <w:szCs w:val="20"/>
        </w:rPr>
        <w:t>,</w:t>
      </w:r>
      <w:r w:rsidR="00EB7DE4" w:rsidRPr="00415C82">
        <w:rPr>
          <w:rFonts w:cstheme="minorHAnsi"/>
          <w:sz w:val="20"/>
          <w:szCs w:val="20"/>
        </w:rPr>
        <w:t xml:space="preserve"> </w:t>
      </w:r>
      <w:proofErr w:type="spellStart"/>
      <w:r w:rsidR="00EB7DE4" w:rsidRPr="00415C82">
        <w:rPr>
          <w:rFonts w:cstheme="minorHAnsi"/>
          <w:sz w:val="20"/>
          <w:szCs w:val="20"/>
        </w:rPr>
        <w:t>Vanderplasschen</w:t>
      </w:r>
      <w:proofErr w:type="spellEnd"/>
      <w:r w:rsidR="00EB7DE4" w:rsidRPr="00415C82">
        <w:rPr>
          <w:rFonts w:cstheme="minorHAnsi"/>
          <w:sz w:val="20"/>
          <w:szCs w:val="20"/>
        </w:rPr>
        <w:t>,</w:t>
      </w:r>
      <w:r w:rsidR="00EB7DE4">
        <w:rPr>
          <w:rFonts w:cstheme="minorHAnsi"/>
          <w:sz w:val="20"/>
          <w:szCs w:val="20"/>
        </w:rPr>
        <w:t xml:space="preserve"> &amp; </w:t>
      </w:r>
      <w:proofErr w:type="spellStart"/>
      <w:r w:rsidR="00EB7DE4">
        <w:rPr>
          <w:rFonts w:cstheme="minorHAnsi"/>
          <w:sz w:val="20"/>
          <w:szCs w:val="20"/>
        </w:rPr>
        <w:t>Broekaert</w:t>
      </w:r>
      <w:proofErr w:type="spellEnd"/>
      <w:r w:rsidR="00EB7DE4">
        <w:rPr>
          <w:rFonts w:cstheme="minorHAnsi"/>
          <w:sz w:val="20"/>
          <w:szCs w:val="20"/>
        </w:rPr>
        <w:t xml:space="preserve">, </w:t>
      </w:r>
      <w:r w:rsidR="00EB7DE4" w:rsidRPr="00415C82">
        <w:rPr>
          <w:rFonts w:cstheme="minorHAnsi"/>
          <w:sz w:val="20"/>
          <w:szCs w:val="20"/>
        </w:rPr>
        <w:t>2010</w:t>
      </w:r>
      <w:r w:rsidR="00EB7DE4">
        <w:rPr>
          <w:rFonts w:cstheme="minorHAnsi"/>
          <w:sz w:val="20"/>
          <w:szCs w:val="20"/>
        </w:rPr>
        <w:t xml:space="preserve">; </w:t>
      </w:r>
      <w:proofErr w:type="spellStart"/>
      <w:r w:rsidRPr="005441BB">
        <w:rPr>
          <w:rFonts w:cstheme="minorHAnsi"/>
          <w:sz w:val="20"/>
          <w:szCs w:val="20"/>
        </w:rPr>
        <w:t>Tracy</w:t>
      </w:r>
      <w:proofErr w:type="spellEnd"/>
      <w:r w:rsidRPr="005441BB">
        <w:rPr>
          <w:rFonts w:cstheme="minorHAnsi"/>
          <w:sz w:val="20"/>
          <w:szCs w:val="20"/>
        </w:rPr>
        <w:t xml:space="preserve"> </w:t>
      </w:r>
      <w:proofErr w:type="spellStart"/>
      <w:r w:rsidRPr="005441BB">
        <w:rPr>
          <w:rFonts w:cstheme="minorHAnsi"/>
          <w:i/>
          <w:sz w:val="20"/>
          <w:szCs w:val="20"/>
        </w:rPr>
        <w:t>et</w:t>
      </w:r>
      <w:proofErr w:type="spellEnd"/>
      <w:r w:rsidRPr="005441BB">
        <w:rPr>
          <w:rFonts w:cstheme="minorHAnsi"/>
          <w:i/>
          <w:sz w:val="20"/>
          <w:szCs w:val="20"/>
        </w:rPr>
        <w:t xml:space="preserve"> al.</w:t>
      </w:r>
      <w:r w:rsidRPr="005441BB">
        <w:rPr>
          <w:rFonts w:cstheme="minorHAnsi"/>
          <w:sz w:val="20"/>
          <w:szCs w:val="20"/>
        </w:rPr>
        <w:t xml:space="preserve">, 2012; </w:t>
      </w:r>
      <w:proofErr w:type="spellStart"/>
      <w:r w:rsidRPr="005441BB">
        <w:rPr>
          <w:rFonts w:cstheme="minorHAnsi"/>
          <w:sz w:val="20"/>
          <w:szCs w:val="20"/>
        </w:rPr>
        <w:t>Tran</w:t>
      </w:r>
      <w:proofErr w:type="spellEnd"/>
      <w:r w:rsidRPr="005441BB">
        <w:rPr>
          <w:rFonts w:cstheme="minorHAnsi"/>
          <w:sz w:val="20"/>
          <w:szCs w:val="20"/>
        </w:rPr>
        <w:t xml:space="preserve"> </w:t>
      </w:r>
      <w:proofErr w:type="spellStart"/>
      <w:r w:rsidRPr="005441BB">
        <w:rPr>
          <w:rFonts w:cstheme="minorHAnsi"/>
          <w:i/>
          <w:sz w:val="20"/>
          <w:szCs w:val="20"/>
        </w:rPr>
        <w:t>et</w:t>
      </w:r>
      <w:proofErr w:type="spellEnd"/>
      <w:r w:rsidRPr="005441BB">
        <w:rPr>
          <w:rFonts w:cstheme="minorHAnsi"/>
          <w:i/>
          <w:sz w:val="20"/>
          <w:szCs w:val="20"/>
        </w:rPr>
        <w:t xml:space="preserve"> al.</w:t>
      </w:r>
      <w:r w:rsidRPr="005441BB">
        <w:rPr>
          <w:rFonts w:cstheme="minorHAnsi"/>
          <w:sz w:val="20"/>
          <w:szCs w:val="20"/>
        </w:rPr>
        <w:t xml:space="preserve">, 2012). </w:t>
      </w:r>
    </w:p>
    <w:p w:rsidR="00E17021" w:rsidRPr="005441BB" w:rsidRDefault="00E17021" w:rsidP="00EF4154">
      <w:pPr>
        <w:tabs>
          <w:tab w:val="left" w:pos="4740"/>
        </w:tabs>
        <w:spacing w:after="0" w:line="360" w:lineRule="auto"/>
        <w:ind w:left="284"/>
        <w:rPr>
          <w:rFonts w:cstheme="minorHAnsi"/>
          <w:sz w:val="20"/>
          <w:szCs w:val="20"/>
        </w:rPr>
      </w:pPr>
      <w:proofErr w:type="gramStart"/>
      <w:r w:rsidRPr="005441BB">
        <w:rPr>
          <w:rFonts w:cstheme="minorHAnsi"/>
          <w:sz w:val="20"/>
          <w:szCs w:val="20"/>
        </w:rPr>
        <w:t>A idade de início dos consumos, bem como os sintomas de privação, não mostraram</w:t>
      </w:r>
      <w:proofErr w:type="gramEnd"/>
      <w:r w:rsidRPr="005441BB">
        <w:rPr>
          <w:rFonts w:cstheme="minorHAnsi"/>
          <w:sz w:val="20"/>
          <w:szCs w:val="20"/>
        </w:rPr>
        <w:t xml:space="preserve"> qualquer influên</w:t>
      </w:r>
      <w:r w:rsidR="003C2ED2">
        <w:rPr>
          <w:rFonts w:cstheme="minorHAnsi"/>
          <w:sz w:val="20"/>
          <w:szCs w:val="20"/>
        </w:rPr>
        <w:t>cia sobre a perceção de QV</w:t>
      </w:r>
      <w:r w:rsidRPr="005441BB">
        <w:rPr>
          <w:rFonts w:cstheme="minorHAnsi"/>
          <w:sz w:val="20"/>
          <w:szCs w:val="20"/>
        </w:rPr>
        <w:t>. Em contrapartida, o estudo desenvolvido por Domingo-</w:t>
      </w:r>
      <w:proofErr w:type="spellStart"/>
      <w:r w:rsidRPr="005441BB">
        <w:rPr>
          <w:rFonts w:cstheme="minorHAnsi"/>
          <w:sz w:val="20"/>
          <w:szCs w:val="20"/>
        </w:rPr>
        <w:t>Salvany</w:t>
      </w:r>
      <w:proofErr w:type="spellEnd"/>
      <w:r w:rsidRPr="005441BB">
        <w:rPr>
          <w:rFonts w:cstheme="minorHAnsi"/>
          <w:sz w:val="20"/>
          <w:szCs w:val="20"/>
        </w:rPr>
        <w:t xml:space="preserve"> </w:t>
      </w:r>
      <w:proofErr w:type="spellStart"/>
      <w:r w:rsidRPr="005441BB">
        <w:rPr>
          <w:rFonts w:cstheme="minorHAnsi"/>
          <w:i/>
          <w:sz w:val="20"/>
          <w:szCs w:val="20"/>
        </w:rPr>
        <w:t>et</w:t>
      </w:r>
      <w:proofErr w:type="spellEnd"/>
      <w:r w:rsidRPr="005441BB">
        <w:rPr>
          <w:rFonts w:cstheme="minorHAnsi"/>
          <w:i/>
          <w:sz w:val="20"/>
          <w:szCs w:val="20"/>
        </w:rPr>
        <w:t xml:space="preserve"> al.</w:t>
      </w:r>
      <w:r w:rsidRPr="005441BB">
        <w:rPr>
          <w:rFonts w:cstheme="minorHAnsi"/>
          <w:sz w:val="20"/>
          <w:szCs w:val="20"/>
        </w:rPr>
        <w:t xml:space="preserve"> (2010), </w:t>
      </w:r>
      <w:r w:rsidR="00385E51">
        <w:rPr>
          <w:rFonts w:cstheme="minorHAnsi"/>
          <w:sz w:val="20"/>
          <w:szCs w:val="20"/>
        </w:rPr>
        <w:t>en</w:t>
      </w:r>
      <w:r w:rsidRPr="005441BB">
        <w:rPr>
          <w:rFonts w:cstheme="minorHAnsi"/>
          <w:sz w:val="20"/>
          <w:szCs w:val="20"/>
        </w:rPr>
        <w:t xml:space="preserve">controu que o tempo de utilização da heroína, bem como os </w:t>
      </w:r>
      <w:proofErr w:type="spellStart"/>
      <w:r w:rsidRPr="005441BB">
        <w:rPr>
          <w:rFonts w:cstheme="minorHAnsi"/>
          <w:sz w:val="20"/>
          <w:szCs w:val="20"/>
        </w:rPr>
        <w:t>policonsumos</w:t>
      </w:r>
      <w:proofErr w:type="spellEnd"/>
      <w:r w:rsidRPr="005441BB">
        <w:rPr>
          <w:rFonts w:cstheme="minorHAnsi"/>
          <w:sz w:val="20"/>
          <w:szCs w:val="20"/>
        </w:rPr>
        <w:t xml:space="preserve">, eram fatores desfavorecedores da perceção de saúde e QV. </w:t>
      </w:r>
    </w:p>
    <w:p w:rsidR="00E17021" w:rsidRPr="005441BB" w:rsidRDefault="00E17021" w:rsidP="00EF4154">
      <w:pPr>
        <w:tabs>
          <w:tab w:val="left" w:pos="4740"/>
        </w:tabs>
        <w:spacing w:after="0" w:line="360" w:lineRule="auto"/>
        <w:ind w:left="284"/>
        <w:rPr>
          <w:rFonts w:cstheme="minorHAnsi"/>
          <w:sz w:val="20"/>
          <w:szCs w:val="20"/>
        </w:rPr>
      </w:pPr>
      <w:r w:rsidRPr="005441BB">
        <w:rPr>
          <w:rFonts w:cstheme="minorHAnsi"/>
          <w:sz w:val="20"/>
          <w:szCs w:val="20"/>
        </w:rPr>
        <w:t xml:space="preserve">Também as pessoas que se encontravam abstinentes, apresentavam uma perceção mais positiva sobre a sua QV, em comparação com os indivíduos que não estavam a gerir adequadamente o seu processo terapêutico e mantinham consumos diários de álcool e/ou drogas. </w:t>
      </w:r>
      <w:r w:rsidR="003C2ED2">
        <w:rPr>
          <w:rFonts w:cstheme="minorHAnsi"/>
          <w:sz w:val="20"/>
          <w:szCs w:val="20"/>
        </w:rPr>
        <w:t xml:space="preserve">Em associação, </w:t>
      </w:r>
      <w:r w:rsidRPr="005441BB">
        <w:rPr>
          <w:rFonts w:cstheme="minorHAnsi"/>
          <w:sz w:val="20"/>
          <w:szCs w:val="20"/>
        </w:rPr>
        <w:t xml:space="preserve">a amostra </w:t>
      </w:r>
      <w:r w:rsidR="003C2ED2">
        <w:rPr>
          <w:rFonts w:cstheme="minorHAnsi"/>
          <w:sz w:val="20"/>
          <w:szCs w:val="20"/>
        </w:rPr>
        <w:t xml:space="preserve">apresentou </w:t>
      </w:r>
      <w:r w:rsidRPr="005441BB">
        <w:rPr>
          <w:rFonts w:cstheme="minorHAnsi"/>
          <w:sz w:val="20"/>
          <w:szCs w:val="20"/>
        </w:rPr>
        <w:t xml:space="preserve">um conjunto de </w:t>
      </w:r>
      <w:proofErr w:type="spellStart"/>
      <w:r w:rsidR="003C2ED2">
        <w:rPr>
          <w:rFonts w:cstheme="minorHAnsi"/>
          <w:sz w:val="20"/>
          <w:szCs w:val="20"/>
        </w:rPr>
        <w:t>comorbilidades</w:t>
      </w:r>
      <w:proofErr w:type="spellEnd"/>
      <w:r w:rsidRPr="005441BB">
        <w:rPr>
          <w:rFonts w:cstheme="minorHAnsi"/>
          <w:sz w:val="20"/>
          <w:szCs w:val="20"/>
        </w:rPr>
        <w:t>, que se mostraram</w:t>
      </w:r>
      <w:r w:rsidR="003C2ED2">
        <w:rPr>
          <w:rFonts w:cstheme="minorHAnsi"/>
          <w:sz w:val="20"/>
          <w:szCs w:val="20"/>
        </w:rPr>
        <w:t>,</w:t>
      </w:r>
      <w:r w:rsidRPr="005441BB">
        <w:rPr>
          <w:rFonts w:cstheme="minorHAnsi"/>
          <w:sz w:val="20"/>
          <w:szCs w:val="20"/>
        </w:rPr>
        <w:t xml:space="preserve"> em diferentes estudos</w:t>
      </w:r>
      <w:r w:rsidR="003C2ED2">
        <w:rPr>
          <w:rFonts w:cstheme="minorHAnsi"/>
          <w:sz w:val="20"/>
          <w:szCs w:val="20"/>
        </w:rPr>
        <w:t>,</w:t>
      </w:r>
      <w:r w:rsidRPr="005441BB">
        <w:rPr>
          <w:rFonts w:cstheme="minorHAnsi"/>
          <w:sz w:val="20"/>
          <w:szCs w:val="20"/>
        </w:rPr>
        <w:t xml:space="preserve"> como fatores condicionadores de uma pior perceção de QV (</w:t>
      </w:r>
      <w:proofErr w:type="spellStart"/>
      <w:r w:rsidRPr="005441BB">
        <w:rPr>
          <w:rFonts w:cstheme="minorHAnsi"/>
          <w:sz w:val="20"/>
          <w:szCs w:val="20"/>
        </w:rPr>
        <w:t>Tran</w:t>
      </w:r>
      <w:proofErr w:type="spellEnd"/>
      <w:r w:rsidRPr="005441BB">
        <w:rPr>
          <w:rFonts w:cstheme="minorHAnsi"/>
          <w:sz w:val="20"/>
          <w:szCs w:val="20"/>
        </w:rPr>
        <w:t xml:space="preserve"> </w:t>
      </w:r>
      <w:proofErr w:type="spellStart"/>
      <w:r w:rsidRPr="005441BB">
        <w:rPr>
          <w:rFonts w:cstheme="minorHAnsi"/>
          <w:i/>
          <w:sz w:val="20"/>
          <w:szCs w:val="20"/>
        </w:rPr>
        <w:t>et</w:t>
      </w:r>
      <w:proofErr w:type="spellEnd"/>
      <w:r w:rsidRPr="005441BB">
        <w:rPr>
          <w:rFonts w:cstheme="minorHAnsi"/>
          <w:i/>
          <w:sz w:val="20"/>
          <w:szCs w:val="20"/>
        </w:rPr>
        <w:t xml:space="preserve"> al.</w:t>
      </w:r>
      <w:r w:rsidRPr="005441BB">
        <w:rPr>
          <w:rFonts w:cstheme="minorHAnsi"/>
          <w:sz w:val="20"/>
          <w:szCs w:val="20"/>
        </w:rPr>
        <w:t xml:space="preserve">, 2012). </w:t>
      </w:r>
    </w:p>
    <w:p w:rsidR="00E17021" w:rsidRPr="00EB40C4" w:rsidRDefault="00E17021" w:rsidP="00EF4154">
      <w:pPr>
        <w:tabs>
          <w:tab w:val="left" w:pos="4740"/>
        </w:tabs>
        <w:spacing w:after="0" w:line="360" w:lineRule="auto"/>
        <w:ind w:left="284"/>
        <w:rPr>
          <w:rFonts w:cstheme="minorHAnsi"/>
          <w:sz w:val="20"/>
          <w:szCs w:val="20"/>
        </w:rPr>
      </w:pPr>
      <w:r w:rsidRPr="005441BB">
        <w:rPr>
          <w:rFonts w:cstheme="minorHAnsi"/>
          <w:sz w:val="20"/>
          <w:szCs w:val="20"/>
        </w:rPr>
        <w:t>Os resultados do presente estudo sugerem o planeamento de um conjunto de intervenções sistematizadas e individualizadas, paralelas ao tratamento protocolado, incluindo um programa de exercício físico, cuja evidência tem demonstrado resultados positivos (</w:t>
      </w:r>
      <w:proofErr w:type="spellStart"/>
      <w:r w:rsidRPr="005441BB">
        <w:rPr>
          <w:rFonts w:cstheme="minorHAnsi"/>
          <w:sz w:val="20"/>
          <w:szCs w:val="20"/>
        </w:rPr>
        <w:t>Giesen</w:t>
      </w:r>
      <w:proofErr w:type="spellEnd"/>
      <w:r w:rsidRPr="005441BB">
        <w:rPr>
          <w:rFonts w:cstheme="minorHAnsi"/>
          <w:sz w:val="20"/>
          <w:szCs w:val="20"/>
        </w:rPr>
        <w:t xml:space="preserve">, </w:t>
      </w:r>
      <w:proofErr w:type="spellStart"/>
      <w:r w:rsidRPr="005441BB">
        <w:rPr>
          <w:rFonts w:cstheme="minorHAnsi"/>
          <w:sz w:val="20"/>
          <w:szCs w:val="20"/>
        </w:rPr>
        <w:t>Zimmer</w:t>
      </w:r>
      <w:proofErr w:type="spellEnd"/>
      <w:r w:rsidRPr="005441BB">
        <w:rPr>
          <w:rFonts w:cstheme="minorHAnsi"/>
          <w:sz w:val="20"/>
          <w:szCs w:val="20"/>
        </w:rPr>
        <w:t xml:space="preserve"> &amp; Bloch, 2016)</w:t>
      </w:r>
    </w:p>
    <w:p w:rsidR="003C4FCB" w:rsidRPr="005441BB" w:rsidRDefault="003C4FCB" w:rsidP="00EF4154">
      <w:pPr>
        <w:spacing w:after="0" w:line="360" w:lineRule="auto"/>
        <w:ind w:left="284"/>
        <w:rPr>
          <w:rFonts w:eastAsia="Calibri" w:cstheme="minorHAnsi"/>
          <w:sz w:val="20"/>
          <w:szCs w:val="20"/>
        </w:rPr>
      </w:pPr>
    </w:p>
    <w:p w:rsidR="003C4FCB" w:rsidRDefault="00543F68" w:rsidP="00EF4154">
      <w:pPr>
        <w:spacing w:after="0" w:line="360" w:lineRule="auto"/>
        <w:ind w:left="284"/>
        <w:contextualSpacing/>
        <w:rPr>
          <w:rFonts w:eastAsia="Times New Roman" w:cstheme="minorHAnsi"/>
          <w:b/>
          <w:spacing w:val="5"/>
          <w:kern w:val="28"/>
          <w:sz w:val="20"/>
          <w:szCs w:val="20"/>
        </w:rPr>
      </w:pPr>
      <w:r w:rsidRPr="005441BB">
        <w:rPr>
          <w:rFonts w:eastAsia="Times New Roman" w:cstheme="minorHAnsi"/>
          <w:b/>
          <w:spacing w:val="5"/>
          <w:kern w:val="28"/>
          <w:sz w:val="20"/>
          <w:szCs w:val="20"/>
        </w:rPr>
        <w:t>CONCLU</w:t>
      </w:r>
      <w:r w:rsidR="00905025" w:rsidRPr="005441BB">
        <w:rPr>
          <w:rFonts w:eastAsia="Times New Roman" w:cstheme="minorHAnsi"/>
          <w:b/>
          <w:spacing w:val="5"/>
          <w:kern w:val="28"/>
          <w:sz w:val="20"/>
          <w:szCs w:val="20"/>
        </w:rPr>
        <w:t>SÕES</w:t>
      </w:r>
    </w:p>
    <w:p w:rsidR="00F31686" w:rsidRDefault="00146258" w:rsidP="00E86B9E">
      <w:pPr>
        <w:spacing w:after="0" w:line="360" w:lineRule="auto"/>
        <w:ind w:left="284"/>
        <w:rPr>
          <w:rFonts w:eastAsia="Calibri" w:cstheme="minorHAnsi"/>
          <w:sz w:val="20"/>
          <w:szCs w:val="20"/>
        </w:rPr>
      </w:pPr>
      <w:r>
        <w:rPr>
          <w:rFonts w:eastAsia="Calibri" w:cstheme="minorHAnsi"/>
          <w:sz w:val="20"/>
          <w:szCs w:val="20"/>
        </w:rPr>
        <w:t>O</w:t>
      </w:r>
      <w:r w:rsidR="00E86B9E" w:rsidRPr="005441BB">
        <w:rPr>
          <w:rFonts w:eastAsia="Calibri" w:cstheme="minorHAnsi"/>
          <w:sz w:val="20"/>
          <w:szCs w:val="20"/>
        </w:rPr>
        <w:t xml:space="preserve"> perfil da pessoa dependente de substâncias psicoativas reconhecido no presente estudo, o conhecimento sobre a forma como estas pessoas avaliam a sua QV, e ainda dos fatores que podem condicionar essa perceção, podem determinar uma alteração do posicionamento atual face aos modelos de intervenção na dependência. </w:t>
      </w:r>
    </w:p>
    <w:p w:rsidR="00E17021" w:rsidRPr="005D6CB4" w:rsidRDefault="005D6CB4" w:rsidP="005D6CB4">
      <w:pPr>
        <w:spacing w:after="0" w:line="360" w:lineRule="auto"/>
        <w:ind w:left="284"/>
        <w:rPr>
          <w:rFonts w:eastAsia="Calibri" w:cstheme="minorHAnsi"/>
          <w:sz w:val="20"/>
          <w:szCs w:val="20"/>
        </w:rPr>
      </w:pPr>
      <w:r w:rsidRPr="005D6CB4">
        <w:rPr>
          <w:rFonts w:eastAsia="Calibri" w:cstheme="minorHAnsi"/>
          <w:sz w:val="20"/>
          <w:szCs w:val="20"/>
        </w:rPr>
        <w:t xml:space="preserve">Com base nos resultados do presente estudo, podemos presumir que as mulheres, mais jovens, com mais elevado nível de escolaridade, que vivem sozinhas e desempregadas ou reformadas, </w:t>
      </w:r>
      <w:r w:rsidR="00EC293E">
        <w:rPr>
          <w:rFonts w:eastAsia="Calibri" w:cstheme="minorHAnsi"/>
          <w:sz w:val="20"/>
          <w:szCs w:val="20"/>
        </w:rPr>
        <w:t xml:space="preserve">e com história de tratamentos de desabituação, </w:t>
      </w:r>
      <w:r w:rsidRPr="005D6CB4">
        <w:rPr>
          <w:rFonts w:eastAsia="Calibri" w:cstheme="minorHAnsi"/>
          <w:sz w:val="20"/>
          <w:szCs w:val="20"/>
        </w:rPr>
        <w:t>configuram um perfil de maior vulnerabilidade na vivência com dependência de drogas.</w:t>
      </w:r>
      <w:r>
        <w:rPr>
          <w:rFonts w:eastAsia="Calibri" w:cstheme="minorHAnsi"/>
          <w:sz w:val="20"/>
          <w:szCs w:val="20"/>
        </w:rPr>
        <w:t xml:space="preserve"> </w:t>
      </w:r>
      <w:r w:rsidR="00E17021" w:rsidRPr="005441BB">
        <w:rPr>
          <w:rFonts w:eastAsia="Times New Roman" w:cstheme="minorHAnsi"/>
          <w:sz w:val="20"/>
          <w:szCs w:val="20"/>
        </w:rPr>
        <w:t>A QV tem sido reconhecida como uma medição de resultados importantes para as tomadas de decisão respeitantes aos recursos e para a criação de modelos de intervenção específicos.</w:t>
      </w:r>
    </w:p>
    <w:p w:rsidR="00E17021" w:rsidRPr="005441BB" w:rsidRDefault="00E17021" w:rsidP="00EF4154">
      <w:pPr>
        <w:autoSpaceDE w:val="0"/>
        <w:autoSpaceDN w:val="0"/>
        <w:adjustRightInd w:val="0"/>
        <w:spacing w:after="0" w:line="360" w:lineRule="auto"/>
        <w:ind w:left="284"/>
        <w:rPr>
          <w:rFonts w:eastAsia="Calibri" w:cstheme="minorHAnsi"/>
          <w:sz w:val="20"/>
          <w:szCs w:val="20"/>
        </w:rPr>
      </w:pPr>
      <w:r w:rsidRPr="005441BB">
        <w:rPr>
          <w:rFonts w:eastAsia="Calibri" w:cstheme="minorHAnsi"/>
          <w:sz w:val="20"/>
          <w:szCs w:val="20"/>
        </w:rPr>
        <w:t xml:space="preserve">A intervenção de enfermagem no âmbito da problemática da dependência deve centralizar-se no doente, na sua problemática de vida, mais do que na própria patologia, procurando desenvolver uma holística e adequada gestão dos cuidados de saúde. Oferecer uma resposta </w:t>
      </w:r>
      <w:r w:rsidR="00A74EC4">
        <w:rPr>
          <w:rFonts w:eastAsia="Calibri" w:cstheme="minorHAnsi"/>
          <w:sz w:val="20"/>
          <w:szCs w:val="20"/>
        </w:rPr>
        <w:t>ao</w:t>
      </w:r>
      <w:r w:rsidRPr="005441BB">
        <w:rPr>
          <w:rFonts w:eastAsia="Calibri" w:cstheme="minorHAnsi"/>
          <w:sz w:val="20"/>
          <w:szCs w:val="20"/>
        </w:rPr>
        <w:t xml:space="preserve"> problema e promover </w:t>
      </w:r>
      <w:r w:rsidR="00146258">
        <w:rPr>
          <w:rFonts w:eastAsia="Calibri" w:cstheme="minorHAnsi"/>
          <w:sz w:val="20"/>
          <w:szCs w:val="20"/>
        </w:rPr>
        <w:t xml:space="preserve">o </w:t>
      </w:r>
      <w:proofErr w:type="spellStart"/>
      <w:r w:rsidR="00146258">
        <w:rPr>
          <w:rFonts w:eastAsia="Calibri" w:cstheme="minorHAnsi"/>
          <w:sz w:val="20"/>
          <w:szCs w:val="20"/>
        </w:rPr>
        <w:t>empowerment</w:t>
      </w:r>
      <w:proofErr w:type="spellEnd"/>
      <w:r w:rsidRPr="005441BB">
        <w:rPr>
          <w:rFonts w:eastAsia="Calibri" w:cstheme="minorHAnsi"/>
          <w:sz w:val="20"/>
          <w:szCs w:val="20"/>
        </w:rPr>
        <w:t xml:space="preserve"> requer uma reorientação das ações dos profissionais, sendo para isso, necessário avaliar as exigências de mudança e adequar a intervenção, sempre apoiada na evidência científica.</w:t>
      </w:r>
    </w:p>
    <w:p w:rsidR="00E17021" w:rsidRPr="005441BB" w:rsidRDefault="00E17021" w:rsidP="00EF4154">
      <w:pPr>
        <w:spacing w:after="0" w:line="360" w:lineRule="auto"/>
        <w:ind w:left="284"/>
        <w:rPr>
          <w:rFonts w:eastAsia="Calibri" w:cstheme="minorHAnsi"/>
          <w:b/>
          <w:sz w:val="20"/>
          <w:szCs w:val="20"/>
        </w:rPr>
      </w:pPr>
      <w:r w:rsidRPr="005441BB">
        <w:rPr>
          <w:rFonts w:eastAsia="Calibri" w:cstheme="minorHAnsi"/>
          <w:sz w:val="20"/>
          <w:szCs w:val="20"/>
        </w:rPr>
        <w:t xml:space="preserve">Cabe também à comunidade em geral, ajudar estas pessoas, proporcionando-lhes meios facilitadores da complexa transição que vivenciam, considerando a dependência como uma doença crónica e não apenas como um “vício”. Por seu lado, a estas pessoas cabe a responsabilidade de </w:t>
      </w:r>
      <w:r w:rsidR="00146258">
        <w:rPr>
          <w:rFonts w:eastAsia="Calibri" w:cstheme="minorHAnsi"/>
          <w:sz w:val="20"/>
          <w:szCs w:val="20"/>
        </w:rPr>
        <w:t xml:space="preserve">tomar decisões e aderir </w:t>
      </w:r>
      <w:r w:rsidR="00FE3D22">
        <w:rPr>
          <w:rFonts w:eastAsia="Calibri" w:cstheme="minorHAnsi"/>
          <w:sz w:val="20"/>
          <w:szCs w:val="20"/>
        </w:rPr>
        <w:t>às indicações terapêuticas</w:t>
      </w:r>
      <w:r w:rsidRPr="005441BB">
        <w:rPr>
          <w:rFonts w:eastAsia="Calibri" w:cstheme="minorHAnsi"/>
          <w:sz w:val="20"/>
          <w:szCs w:val="20"/>
        </w:rPr>
        <w:t>.</w:t>
      </w:r>
    </w:p>
    <w:p w:rsidR="00E17021" w:rsidRPr="005441BB" w:rsidRDefault="00E17021" w:rsidP="00EF4154">
      <w:pPr>
        <w:spacing w:after="0" w:line="360" w:lineRule="auto"/>
        <w:ind w:left="284"/>
        <w:rPr>
          <w:rFonts w:eastAsia="Calibri" w:cstheme="minorHAnsi"/>
          <w:b/>
          <w:sz w:val="20"/>
          <w:szCs w:val="20"/>
        </w:rPr>
      </w:pPr>
      <w:r w:rsidRPr="005441BB">
        <w:rPr>
          <w:rFonts w:eastAsia="Calibri" w:cstheme="minorHAnsi"/>
          <w:b/>
          <w:sz w:val="20"/>
          <w:szCs w:val="20"/>
        </w:rPr>
        <w:t xml:space="preserve">       </w:t>
      </w:r>
    </w:p>
    <w:p w:rsidR="00802273" w:rsidRPr="005441BB" w:rsidRDefault="00E17021" w:rsidP="00EF4154">
      <w:pPr>
        <w:spacing w:after="0" w:line="360" w:lineRule="auto"/>
        <w:ind w:left="284"/>
        <w:rPr>
          <w:rFonts w:eastAsia="Calibri" w:cstheme="minorHAnsi"/>
          <w:b/>
          <w:sz w:val="20"/>
          <w:szCs w:val="20"/>
        </w:rPr>
      </w:pPr>
      <w:r w:rsidRPr="005441BB">
        <w:rPr>
          <w:rFonts w:eastAsia="Calibri" w:cstheme="minorHAnsi"/>
          <w:b/>
          <w:sz w:val="20"/>
          <w:szCs w:val="20"/>
        </w:rPr>
        <w:t>Conflito de Interesses</w:t>
      </w:r>
    </w:p>
    <w:p w:rsidR="00E17021" w:rsidRPr="000146B1" w:rsidRDefault="000146B1" w:rsidP="00EF4154">
      <w:pPr>
        <w:spacing w:after="0" w:line="360" w:lineRule="auto"/>
        <w:ind w:left="284"/>
        <w:rPr>
          <w:rFonts w:eastAsia="Calibri" w:cstheme="minorHAnsi"/>
          <w:sz w:val="20"/>
          <w:szCs w:val="20"/>
        </w:rPr>
      </w:pPr>
      <w:r w:rsidRPr="000146B1">
        <w:rPr>
          <w:rFonts w:eastAsia="Calibri" w:cstheme="minorHAnsi"/>
          <w:sz w:val="20"/>
          <w:szCs w:val="20"/>
        </w:rPr>
        <w:t xml:space="preserve"> Não se visualizam conflitos de interesses</w:t>
      </w:r>
      <w:r w:rsidR="00A74EC4">
        <w:rPr>
          <w:rFonts w:eastAsia="Calibri" w:cstheme="minorHAnsi"/>
          <w:sz w:val="20"/>
          <w:szCs w:val="20"/>
        </w:rPr>
        <w:t>.</w:t>
      </w:r>
    </w:p>
    <w:p w:rsidR="00E17021" w:rsidRPr="005441BB" w:rsidRDefault="00E17021" w:rsidP="00EF4154">
      <w:pPr>
        <w:spacing w:after="0" w:line="360" w:lineRule="auto"/>
        <w:ind w:left="284"/>
        <w:rPr>
          <w:rFonts w:eastAsia="Calibri" w:cstheme="minorHAnsi"/>
          <w:b/>
          <w:sz w:val="20"/>
          <w:szCs w:val="20"/>
        </w:rPr>
      </w:pPr>
      <w:r w:rsidRPr="005441BB">
        <w:rPr>
          <w:rFonts w:eastAsia="Calibri" w:cstheme="minorHAnsi"/>
          <w:b/>
          <w:sz w:val="20"/>
          <w:szCs w:val="20"/>
        </w:rPr>
        <w:t>Agradecimentos</w:t>
      </w:r>
    </w:p>
    <w:p w:rsidR="00E17021" w:rsidRPr="005441BB" w:rsidRDefault="000146B1" w:rsidP="00EF4154">
      <w:pPr>
        <w:spacing w:after="0" w:line="360" w:lineRule="auto"/>
        <w:ind w:left="284"/>
        <w:rPr>
          <w:rFonts w:eastAsia="Calibri" w:cstheme="minorHAnsi"/>
          <w:sz w:val="20"/>
          <w:szCs w:val="20"/>
        </w:rPr>
      </w:pPr>
      <w:r>
        <w:rPr>
          <w:rFonts w:eastAsia="Calibri" w:cstheme="minorHAnsi"/>
          <w:sz w:val="20"/>
          <w:szCs w:val="20"/>
        </w:rPr>
        <w:lastRenderedPageBreak/>
        <w:t xml:space="preserve">Agradecemos </w:t>
      </w:r>
      <w:r w:rsidR="00F144C8">
        <w:rPr>
          <w:rFonts w:eastAsia="Calibri" w:cstheme="minorHAnsi"/>
          <w:sz w:val="20"/>
          <w:szCs w:val="20"/>
        </w:rPr>
        <w:t>às pessoas que incluíram o</w:t>
      </w:r>
      <w:r>
        <w:rPr>
          <w:rFonts w:eastAsia="Calibri" w:cstheme="minorHAnsi"/>
          <w:sz w:val="20"/>
          <w:szCs w:val="20"/>
        </w:rPr>
        <w:t xml:space="preserve"> estudo e </w:t>
      </w:r>
      <w:r w:rsidR="00F144C8">
        <w:rPr>
          <w:rFonts w:eastAsia="Calibri" w:cstheme="minorHAnsi"/>
          <w:sz w:val="20"/>
          <w:szCs w:val="20"/>
        </w:rPr>
        <w:t xml:space="preserve">aos </w:t>
      </w:r>
      <w:r>
        <w:rPr>
          <w:rFonts w:eastAsia="Calibri" w:cstheme="minorHAnsi"/>
          <w:sz w:val="20"/>
          <w:szCs w:val="20"/>
        </w:rPr>
        <w:t xml:space="preserve">profissionais de saúde das instituições </w:t>
      </w:r>
      <w:r w:rsidR="00F144C8">
        <w:rPr>
          <w:rFonts w:eastAsia="Calibri" w:cstheme="minorHAnsi"/>
          <w:sz w:val="20"/>
          <w:szCs w:val="20"/>
        </w:rPr>
        <w:t>participantes.</w:t>
      </w:r>
    </w:p>
    <w:p w:rsidR="00EC0880" w:rsidRPr="005441BB" w:rsidRDefault="00EC0880" w:rsidP="00EF4154">
      <w:pPr>
        <w:spacing w:after="0" w:line="360" w:lineRule="auto"/>
        <w:ind w:left="284"/>
        <w:rPr>
          <w:rFonts w:eastAsia="Calibri" w:cstheme="minorHAnsi"/>
          <w:sz w:val="20"/>
          <w:szCs w:val="20"/>
        </w:rPr>
      </w:pPr>
    </w:p>
    <w:p w:rsidR="003C4FCB" w:rsidRPr="005441BB" w:rsidRDefault="003C4FCB" w:rsidP="00EF4154">
      <w:pPr>
        <w:spacing w:after="0" w:line="360" w:lineRule="auto"/>
        <w:ind w:left="284"/>
        <w:rPr>
          <w:rFonts w:eastAsia="Calibri" w:cstheme="minorHAnsi"/>
          <w:sz w:val="20"/>
          <w:szCs w:val="20"/>
        </w:rPr>
      </w:pPr>
    </w:p>
    <w:p w:rsidR="003C4FCB" w:rsidRPr="005441BB" w:rsidRDefault="00E17021" w:rsidP="005441BB">
      <w:pPr>
        <w:spacing w:after="0" w:line="360" w:lineRule="auto"/>
        <w:ind w:left="720" w:hanging="360"/>
        <w:contextualSpacing/>
        <w:rPr>
          <w:rFonts w:eastAsia="Times New Roman" w:cstheme="minorHAnsi"/>
          <w:b/>
          <w:spacing w:val="5"/>
          <w:kern w:val="28"/>
          <w:sz w:val="20"/>
          <w:szCs w:val="20"/>
        </w:rPr>
      </w:pPr>
      <w:r w:rsidRPr="005441BB">
        <w:rPr>
          <w:rFonts w:eastAsia="Times New Roman" w:cstheme="minorHAnsi"/>
          <w:b/>
          <w:spacing w:val="5"/>
          <w:kern w:val="28"/>
          <w:sz w:val="20"/>
          <w:szCs w:val="20"/>
        </w:rPr>
        <w:t>REFERENCIAS BIBLIOGRÁFICAS</w:t>
      </w:r>
    </w:p>
    <w:p w:rsidR="00E17021" w:rsidRPr="00D97A31" w:rsidRDefault="00E17021" w:rsidP="00802CF5">
      <w:pPr>
        <w:shd w:val="clear" w:color="auto" w:fill="FFFFFF" w:themeFill="background1"/>
        <w:spacing w:after="0" w:line="360" w:lineRule="auto"/>
        <w:ind w:left="284"/>
        <w:rPr>
          <w:rFonts w:eastAsia="Calibri" w:cstheme="minorHAnsi"/>
          <w:sz w:val="20"/>
          <w:szCs w:val="20"/>
        </w:rPr>
      </w:pPr>
      <w:proofErr w:type="spellStart"/>
      <w:r w:rsidRPr="00D97A31">
        <w:rPr>
          <w:rFonts w:eastAsia="Calibri" w:cstheme="minorHAnsi"/>
          <w:sz w:val="20"/>
          <w:szCs w:val="20"/>
        </w:rPr>
        <w:t>American</w:t>
      </w:r>
      <w:proofErr w:type="spellEnd"/>
      <w:r w:rsidRPr="00D97A31">
        <w:rPr>
          <w:rFonts w:eastAsia="Calibri" w:cstheme="minorHAnsi"/>
          <w:sz w:val="20"/>
          <w:szCs w:val="20"/>
        </w:rPr>
        <w:t xml:space="preserve"> </w:t>
      </w:r>
      <w:proofErr w:type="spellStart"/>
      <w:r w:rsidRPr="00D97A31">
        <w:rPr>
          <w:rFonts w:eastAsia="Calibri" w:cstheme="minorHAnsi"/>
          <w:sz w:val="20"/>
          <w:szCs w:val="20"/>
        </w:rPr>
        <w:t>Psychiatric</w:t>
      </w:r>
      <w:proofErr w:type="spellEnd"/>
      <w:r w:rsidRPr="00D97A31">
        <w:rPr>
          <w:rFonts w:eastAsia="Calibri" w:cstheme="minorHAnsi"/>
          <w:sz w:val="20"/>
          <w:szCs w:val="20"/>
        </w:rPr>
        <w:t xml:space="preserve"> </w:t>
      </w:r>
      <w:proofErr w:type="spellStart"/>
      <w:r w:rsidRPr="00D97A31">
        <w:rPr>
          <w:rFonts w:eastAsia="Calibri" w:cstheme="minorHAnsi"/>
          <w:sz w:val="20"/>
          <w:szCs w:val="20"/>
        </w:rPr>
        <w:t>Association</w:t>
      </w:r>
      <w:proofErr w:type="spellEnd"/>
      <w:r w:rsidRPr="00D97A31">
        <w:rPr>
          <w:rFonts w:eastAsia="Calibri" w:cstheme="minorHAnsi"/>
          <w:sz w:val="20"/>
          <w:szCs w:val="20"/>
        </w:rPr>
        <w:t>. (20</w:t>
      </w:r>
      <w:r w:rsidR="00590CF8" w:rsidRPr="00D97A31">
        <w:rPr>
          <w:rFonts w:eastAsia="Calibri" w:cstheme="minorHAnsi"/>
          <w:sz w:val="20"/>
          <w:szCs w:val="20"/>
        </w:rPr>
        <w:t>14</w:t>
      </w:r>
      <w:r w:rsidRPr="00D97A31">
        <w:rPr>
          <w:rFonts w:eastAsia="Calibri" w:cstheme="minorHAnsi"/>
          <w:sz w:val="20"/>
          <w:szCs w:val="20"/>
        </w:rPr>
        <w:t xml:space="preserve">). </w:t>
      </w:r>
      <w:r w:rsidRPr="00D97A31">
        <w:rPr>
          <w:rFonts w:eastAsia="Calibri" w:cstheme="minorHAnsi"/>
          <w:i/>
          <w:sz w:val="20"/>
          <w:szCs w:val="20"/>
        </w:rPr>
        <w:t xml:space="preserve">Manual de diagnóstico e estatística de perturbações Mentais </w:t>
      </w:r>
      <w:r w:rsidR="00590CF8" w:rsidRPr="00D97A31">
        <w:rPr>
          <w:rFonts w:eastAsia="Calibri" w:cstheme="minorHAnsi"/>
          <w:i/>
          <w:sz w:val="20"/>
          <w:szCs w:val="20"/>
        </w:rPr>
        <w:t>–</w:t>
      </w:r>
      <w:r w:rsidRPr="00D97A31">
        <w:rPr>
          <w:rFonts w:eastAsia="Calibri" w:cstheme="minorHAnsi"/>
          <w:i/>
          <w:sz w:val="20"/>
          <w:szCs w:val="20"/>
        </w:rPr>
        <w:t xml:space="preserve"> DSM</w:t>
      </w:r>
      <w:r w:rsidR="00590CF8" w:rsidRPr="00D97A31">
        <w:rPr>
          <w:rFonts w:eastAsia="Calibri" w:cstheme="minorHAnsi"/>
          <w:i/>
          <w:sz w:val="20"/>
          <w:szCs w:val="20"/>
        </w:rPr>
        <w:t>-5</w:t>
      </w:r>
      <w:r w:rsidRPr="00D97A31">
        <w:rPr>
          <w:rFonts w:eastAsia="Calibri" w:cstheme="minorHAnsi"/>
          <w:sz w:val="20"/>
          <w:szCs w:val="20"/>
        </w:rPr>
        <w:t xml:space="preserve"> (</w:t>
      </w:r>
      <w:r w:rsidR="00590CF8" w:rsidRPr="00D97A31">
        <w:rPr>
          <w:rFonts w:eastAsia="Calibri" w:cstheme="minorHAnsi"/>
          <w:sz w:val="20"/>
          <w:szCs w:val="20"/>
        </w:rPr>
        <w:t>1</w:t>
      </w:r>
      <w:r w:rsidRPr="00D97A31">
        <w:rPr>
          <w:rFonts w:eastAsia="Calibri" w:cstheme="minorHAnsi"/>
          <w:sz w:val="20"/>
          <w:szCs w:val="20"/>
        </w:rPr>
        <w:t>ª ed.). Lisboa: Climepsi Editores.</w:t>
      </w:r>
      <w:r w:rsidR="00590CF8" w:rsidRPr="00D97A31">
        <w:rPr>
          <w:rFonts w:eastAsia="Calibri" w:cstheme="minorHAnsi"/>
          <w:sz w:val="20"/>
          <w:szCs w:val="20"/>
        </w:rPr>
        <w:t>1122p. ISBN: 9789727963478.</w:t>
      </w:r>
    </w:p>
    <w:p w:rsidR="00E17021" w:rsidRPr="00D97A31" w:rsidRDefault="00E17021" w:rsidP="00802CF5">
      <w:pPr>
        <w:spacing w:after="0" w:line="360" w:lineRule="auto"/>
        <w:ind w:left="284"/>
        <w:rPr>
          <w:rFonts w:eastAsia="Calibri" w:cstheme="minorHAnsi"/>
          <w:sz w:val="20"/>
          <w:szCs w:val="20"/>
          <w:lang w:val="en-US"/>
        </w:rPr>
      </w:pPr>
      <w:r w:rsidRPr="00CA2EFC">
        <w:rPr>
          <w:rFonts w:eastAsia="Calibri" w:cstheme="minorHAnsi"/>
          <w:sz w:val="20"/>
          <w:szCs w:val="20"/>
        </w:rPr>
        <w:t xml:space="preserve">Becker, S. J., </w:t>
      </w:r>
      <w:proofErr w:type="spellStart"/>
      <w:r w:rsidRPr="00CA2EFC">
        <w:rPr>
          <w:rFonts w:eastAsia="Calibri" w:cstheme="minorHAnsi"/>
          <w:sz w:val="20"/>
          <w:szCs w:val="20"/>
        </w:rPr>
        <w:t>Curry</w:t>
      </w:r>
      <w:proofErr w:type="spellEnd"/>
      <w:r w:rsidRPr="00CA2EFC">
        <w:rPr>
          <w:rFonts w:eastAsia="Calibri" w:cstheme="minorHAnsi"/>
          <w:sz w:val="20"/>
          <w:szCs w:val="20"/>
        </w:rPr>
        <w:t xml:space="preserve">, J. F., &amp; Yang, C. (2011). </w:t>
      </w:r>
      <w:r w:rsidRPr="00D97A31">
        <w:rPr>
          <w:rFonts w:eastAsia="Calibri" w:cstheme="minorHAnsi"/>
          <w:sz w:val="20"/>
          <w:szCs w:val="20"/>
          <w:lang w:val="en-US"/>
        </w:rPr>
        <w:t xml:space="preserve">Factors that influence trajectories of change in frequency of substance use and quality of life among adolescents receiving a brief intervention. </w:t>
      </w:r>
      <w:r w:rsidRPr="00D97A31">
        <w:rPr>
          <w:rFonts w:eastAsia="Calibri" w:cstheme="minorHAnsi"/>
          <w:i/>
          <w:sz w:val="20"/>
          <w:szCs w:val="20"/>
          <w:lang w:val="en-US"/>
        </w:rPr>
        <w:t>Journal of Substance Abuse Treatment, 41</w:t>
      </w:r>
      <w:r w:rsidRPr="00D97A31">
        <w:rPr>
          <w:rFonts w:eastAsia="Calibri" w:cstheme="minorHAnsi"/>
          <w:sz w:val="20"/>
          <w:szCs w:val="20"/>
          <w:lang w:val="en-US"/>
        </w:rPr>
        <w:t xml:space="preserve">, 294-304. </w:t>
      </w:r>
    </w:p>
    <w:p w:rsidR="00E17021" w:rsidRPr="00CA2EFC" w:rsidRDefault="00E17021" w:rsidP="00802CF5">
      <w:pPr>
        <w:shd w:val="clear" w:color="auto" w:fill="FFFFFF" w:themeFill="background1"/>
        <w:spacing w:after="0" w:line="360" w:lineRule="auto"/>
        <w:ind w:left="284"/>
        <w:rPr>
          <w:rFonts w:cstheme="minorHAnsi"/>
          <w:sz w:val="20"/>
          <w:szCs w:val="20"/>
          <w:lang w:val="en-US"/>
        </w:rPr>
      </w:pPr>
      <w:r w:rsidRPr="00CA2EFC">
        <w:rPr>
          <w:rFonts w:cstheme="minorHAnsi"/>
          <w:sz w:val="20"/>
          <w:szCs w:val="20"/>
          <w:lang w:val="en-US"/>
        </w:rPr>
        <w:t>Domingo-</w:t>
      </w:r>
      <w:proofErr w:type="spellStart"/>
      <w:r w:rsidRPr="00CA2EFC">
        <w:rPr>
          <w:rFonts w:cstheme="minorHAnsi"/>
          <w:sz w:val="20"/>
          <w:szCs w:val="20"/>
          <w:lang w:val="en-US"/>
        </w:rPr>
        <w:t>Salvany</w:t>
      </w:r>
      <w:proofErr w:type="spellEnd"/>
      <w:r w:rsidRPr="00CA2EFC">
        <w:rPr>
          <w:rFonts w:cstheme="minorHAnsi"/>
          <w:sz w:val="20"/>
          <w:szCs w:val="20"/>
          <w:lang w:val="en-US"/>
        </w:rPr>
        <w:t>, A., </w:t>
      </w:r>
      <w:proofErr w:type="spellStart"/>
      <w:r w:rsidRPr="00CA2EFC">
        <w:rPr>
          <w:rFonts w:cstheme="minorHAnsi"/>
          <w:sz w:val="20"/>
          <w:szCs w:val="20"/>
          <w:lang w:val="en-US"/>
        </w:rPr>
        <w:t>Brugal</w:t>
      </w:r>
      <w:proofErr w:type="spellEnd"/>
      <w:r w:rsidRPr="00CA2EFC">
        <w:rPr>
          <w:rFonts w:cstheme="minorHAnsi"/>
          <w:sz w:val="20"/>
          <w:szCs w:val="20"/>
          <w:lang w:val="en-US"/>
        </w:rPr>
        <w:t>, M. T., Barrio, G., González-</w:t>
      </w:r>
      <w:proofErr w:type="spellStart"/>
      <w:r w:rsidRPr="00CA2EFC">
        <w:rPr>
          <w:rFonts w:cstheme="minorHAnsi"/>
          <w:sz w:val="20"/>
          <w:szCs w:val="20"/>
          <w:lang w:val="en-US"/>
        </w:rPr>
        <w:t>Saiz</w:t>
      </w:r>
      <w:proofErr w:type="spellEnd"/>
      <w:r w:rsidRPr="00CA2EFC">
        <w:rPr>
          <w:rFonts w:cstheme="minorHAnsi"/>
          <w:sz w:val="20"/>
          <w:szCs w:val="20"/>
          <w:lang w:val="en-US"/>
        </w:rPr>
        <w:t xml:space="preserve">, F., Bravo, M. J., de la Fuente, L., &amp; ITINERE Investigators. </w:t>
      </w:r>
      <w:r w:rsidRPr="00D97A31">
        <w:rPr>
          <w:rFonts w:cstheme="minorHAnsi"/>
          <w:sz w:val="20"/>
          <w:szCs w:val="20"/>
          <w:lang w:val="en-US"/>
        </w:rPr>
        <w:t xml:space="preserve">(2010). Gender differences in health related quality of life of young heroin users. </w:t>
      </w:r>
      <w:r w:rsidRPr="00CA2EFC">
        <w:rPr>
          <w:rFonts w:cstheme="minorHAnsi"/>
          <w:i/>
          <w:sz w:val="20"/>
          <w:szCs w:val="20"/>
          <w:lang w:val="en-US"/>
        </w:rPr>
        <w:t>Health and Quality of Life Outcomes, 8</w:t>
      </w:r>
      <w:r w:rsidRPr="00CA2EFC">
        <w:rPr>
          <w:rFonts w:cstheme="minorHAnsi"/>
          <w:sz w:val="20"/>
          <w:szCs w:val="20"/>
          <w:lang w:val="en-US"/>
        </w:rPr>
        <w:t>(145).</w:t>
      </w:r>
    </w:p>
    <w:p w:rsidR="00E17021" w:rsidRPr="00D97A31" w:rsidRDefault="00E17021" w:rsidP="00802CF5">
      <w:pPr>
        <w:shd w:val="clear" w:color="auto" w:fill="FFFFFF" w:themeFill="background1"/>
        <w:autoSpaceDE w:val="0"/>
        <w:autoSpaceDN w:val="0"/>
        <w:adjustRightInd w:val="0"/>
        <w:spacing w:after="0" w:line="360" w:lineRule="auto"/>
        <w:ind w:left="284"/>
        <w:rPr>
          <w:rFonts w:cstheme="minorHAnsi"/>
          <w:sz w:val="20"/>
          <w:szCs w:val="20"/>
          <w:lang w:val="en-US"/>
        </w:rPr>
      </w:pPr>
      <w:proofErr w:type="spellStart"/>
      <w:r w:rsidRPr="00D97A31">
        <w:rPr>
          <w:rFonts w:cstheme="minorHAnsi"/>
          <w:sz w:val="20"/>
          <w:szCs w:val="20"/>
          <w:lang w:val="en-US"/>
        </w:rPr>
        <w:t>Ferrans</w:t>
      </w:r>
      <w:proofErr w:type="spellEnd"/>
      <w:r w:rsidRPr="00D97A31">
        <w:rPr>
          <w:rFonts w:cstheme="minorHAnsi"/>
          <w:sz w:val="20"/>
          <w:szCs w:val="20"/>
          <w:lang w:val="en-US"/>
        </w:rPr>
        <w:t xml:space="preserve">, C. E. (2005). Definitions and conceptual models of quality of life. In J. Lipscomb, C. </w:t>
      </w:r>
      <w:proofErr w:type="spellStart"/>
      <w:r w:rsidRPr="00D97A31">
        <w:rPr>
          <w:rFonts w:cstheme="minorHAnsi"/>
          <w:sz w:val="20"/>
          <w:szCs w:val="20"/>
          <w:lang w:val="en-US"/>
        </w:rPr>
        <w:t>Gotay</w:t>
      </w:r>
      <w:proofErr w:type="spellEnd"/>
      <w:r w:rsidRPr="00D97A31">
        <w:rPr>
          <w:rFonts w:cstheme="minorHAnsi"/>
          <w:sz w:val="20"/>
          <w:szCs w:val="20"/>
          <w:lang w:val="en-US"/>
        </w:rPr>
        <w:t xml:space="preserve">, &amp; C. Snyder, </w:t>
      </w:r>
      <w:r w:rsidRPr="00D97A31">
        <w:rPr>
          <w:rFonts w:cstheme="minorHAnsi"/>
          <w:i/>
          <w:sz w:val="20"/>
          <w:szCs w:val="20"/>
          <w:lang w:val="en-US"/>
        </w:rPr>
        <w:t>Outcomes assessment in cancer. Measures, methods and applications.</w:t>
      </w:r>
      <w:r w:rsidRPr="00D97A31">
        <w:rPr>
          <w:rFonts w:cstheme="minorHAnsi"/>
          <w:sz w:val="20"/>
          <w:szCs w:val="20"/>
          <w:lang w:val="en-US"/>
        </w:rPr>
        <w:t xml:space="preserve"> Cambridge: University Press. </w:t>
      </w:r>
    </w:p>
    <w:p w:rsidR="00E17021" w:rsidRPr="008F241D" w:rsidRDefault="00E17021" w:rsidP="00802CF5">
      <w:pPr>
        <w:shd w:val="clear" w:color="auto" w:fill="FFFFFF" w:themeFill="background1"/>
        <w:autoSpaceDE w:val="0"/>
        <w:autoSpaceDN w:val="0"/>
        <w:adjustRightInd w:val="0"/>
        <w:spacing w:after="0" w:line="360" w:lineRule="auto"/>
        <w:ind w:left="284"/>
        <w:rPr>
          <w:rFonts w:cstheme="minorHAnsi"/>
          <w:sz w:val="20"/>
          <w:szCs w:val="20"/>
        </w:rPr>
      </w:pPr>
      <w:proofErr w:type="spellStart"/>
      <w:r w:rsidRPr="00D97A31">
        <w:rPr>
          <w:rFonts w:cstheme="minorHAnsi"/>
          <w:sz w:val="20"/>
          <w:szCs w:val="20"/>
          <w:lang w:val="en-US"/>
        </w:rPr>
        <w:t>Ferrans</w:t>
      </w:r>
      <w:proofErr w:type="spellEnd"/>
      <w:r w:rsidRPr="00D97A31">
        <w:rPr>
          <w:rFonts w:cstheme="minorHAnsi"/>
          <w:sz w:val="20"/>
          <w:szCs w:val="20"/>
          <w:lang w:val="en-US"/>
        </w:rPr>
        <w:t xml:space="preserve">, C. E., &amp; Powers, M. (2011). </w:t>
      </w:r>
      <w:r w:rsidRPr="00D97A31">
        <w:rPr>
          <w:rFonts w:cstheme="minorHAnsi"/>
          <w:i/>
          <w:sz w:val="20"/>
          <w:szCs w:val="20"/>
          <w:lang w:val="en-US"/>
        </w:rPr>
        <w:t>Quality of Life Index</w:t>
      </w:r>
      <w:r w:rsidRPr="00D97A31">
        <w:rPr>
          <w:rFonts w:cstheme="minorHAnsi"/>
          <w:sz w:val="20"/>
          <w:szCs w:val="20"/>
          <w:lang w:val="en-US"/>
        </w:rPr>
        <w:t xml:space="preserve">. </w:t>
      </w:r>
      <w:r w:rsidRPr="008F241D">
        <w:rPr>
          <w:rFonts w:cstheme="minorHAnsi"/>
          <w:sz w:val="20"/>
          <w:szCs w:val="20"/>
        </w:rPr>
        <w:t xml:space="preserve">Disponível em  </w:t>
      </w:r>
      <w:hyperlink r:id="rId11" w:history="1">
        <w:r w:rsidRPr="008F241D">
          <w:rPr>
            <w:rFonts w:cstheme="minorHAnsi"/>
            <w:color w:val="0000FF"/>
            <w:sz w:val="20"/>
            <w:szCs w:val="20"/>
            <w:u w:val="single"/>
          </w:rPr>
          <w:t>http://www.uic.edu/orgs/qli/</w:t>
        </w:r>
      </w:hyperlink>
    </w:p>
    <w:p w:rsidR="00E17021" w:rsidRPr="00D97A31" w:rsidRDefault="00E17021" w:rsidP="00802CF5">
      <w:pPr>
        <w:shd w:val="clear" w:color="auto" w:fill="FFFFFF" w:themeFill="background1"/>
        <w:autoSpaceDE w:val="0"/>
        <w:autoSpaceDN w:val="0"/>
        <w:adjustRightInd w:val="0"/>
        <w:spacing w:after="0" w:line="360" w:lineRule="auto"/>
        <w:ind w:left="284"/>
        <w:rPr>
          <w:rFonts w:cstheme="minorHAnsi"/>
          <w:sz w:val="20"/>
          <w:szCs w:val="20"/>
        </w:rPr>
      </w:pPr>
      <w:proofErr w:type="spellStart"/>
      <w:r w:rsidRPr="00D97A31">
        <w:rPr>
          <w:rFonts w:cstheme="minorHAnsi"/>
          <w:sz w:val="20"/>
          <w:szCs w:val="20"/>
          <w:lang w:val="en-US"/>
        </w:rPr>
        <w:t>Giesen</w:t>
      </w:r>
      <w:proofErr w:type="spellEnd"/>
      <w:r w:rsidRPr="00D97A31">
        <w:rPr>
          <w:rFonts w:cstheme="minorHAnsi"/>
          <w:sz w:val="20"/>
          <w:szCs w:val="20"/>
          <w:lang w:val="en-US"/>
        </w:rPr>
        <w:t xml:space="preserve">, E. S., Zimmer, P., </w:t>
      </w:r>
      <w:proofErr w:type="gramStart"/>
      <w:r w:rsidRPr="00D97A31">
        <w:rPr>
          <w:rFonts w:cstheme="minorHAnsi"/>
          <w:sz w:val="20"/>
          <w:szCs w:val="20"/>
          <w:lang w:val="en-US"/>
        </w:rPr>
        <w:t>&amp;  Bloch</w:t>
      </w:r>
      <w:proofErr w:type="gramEnd"/>
      <w:r w:rsidRPr="00D97A31">
        <w:rPr>
          <w:rFonts w:cstheme="minorHAnsi"/>
          <w:sz w:val="20"/>
          <w:szCs w:val="20"/>
          <w:lang w:val="en-US"/>
        </w:rPr>
        <w:t xml:space="preserve">, W. (2016). Effects of an exercise program on physical activity level and quality of life in patients with severe alcohol dependence. </w:t>
      </w:r>
      <w:proofErr w:type="spellStart"/>
      <w:r w:rsidRPr="00D97A31">
        <w:rPr>
          <w:rFonts w:cstheme="minorHAnsi"/>
          <w:i/>
          <w:sz w:val="20"/>
          <w:szCs w:val="20"/>
        </w:rPr>
        <w:t>Alcoholism</w:t>
      </w:r>
      <w:proofErr w:type="spellEnd"/>
      <w:r w:rsidRPr="00D97A31">
        <w:rPr>
          <w:rFonts w:cstheme="minorHAnsi"/>
          <w:i/>
          <w:sz w:val="20"/>
          <w:szCs w:val="20"/>
        </w:rPr>
        <w:t xml:space="preserve"> </w:t>
      </w:r>
      <w:proofErr w:type="spellStart"/>
      <w:r w:rsidRPr="00D97A31">
        <w:rPr>
          <w:rFonts w:cstheme="minorHAnsi"/>
          <w:i/>
          <w:sz w:val="20"/>
          <w:szCs w:val="20"/>
        </w:rPr>
        <w:t>Treatment</w:t>
      </w:r>
      <w:proofErr w:type="spellEnd"/>
      <w:r w:rsidRPr="00D97A31">
        <w:rPr>
          <w:rFonts w:cstheme="minorHAnsi"/>
          <w:i/>
          <w:sz w:val="20"/>
          <w:szCs w:val="20"/>
        </w:rPr>
        <w:t xml:space="preserve"> </w:t>
      </w:r>
      <w:proofErr w:type="spellStart"/>
      <w:r w:rsidRPr="00D97A31">
        <w:rPr>
          <w:rFonts w:cstheme="minorHAnsi"/>
          <w:i/>
          <w:sz w:val="20"/>
          <w:szCs w:val="20"/>
        </w:rPr>
        <w:t>Quarterly</w:t>
      </w:r>
      <w:proofErr w:type="spellEnd"/>
      <w:r w:rsidRPr="00D97A31">
        <w:rPr>
          <w:rFonts w:cstheme="minorHAnsi"/>
          <w:i/>
          <w:sz w:val="20"/>
          <w:szCs w:val="20"/>
        </w:rPr>
        <w:t>, 34</w:t>
      </w:r>
      <w:r w:rsidRPr="00D97A31">
        <w:rPr>
          <w:rFonts w:cstheme="minorHAnsi"/>
          <w:sz w:val="20"/>
          <w:szCs w:val="20"/>
        </w:rPr>
        <w:t>(1), 63-78.</w:t>
      </w:r>
    </w:p>
    <w:p w:rsidR="00CA2380" w:rsidRPr="00D97A31" w:rsidRDefault="00B521FE" w:rsidP="00802CF5">
      <w:pPr>
        <w:shd w:val="clear" w:color="auto" w:fill="FFFFFF" w:themeFill="background1"/>
        <w:autoSpaceDE w:val="0"/>
        <w:autoSpaceDN w:val="0"/>
        <w:adjustRightInd w:val="0"/>
        <w:spacing w:after="0" w:line="360" w:lineRule="auto"/>
        <w:ind w:left="284"/>
        <w:rPr>
          <w:rFonts w:cstheme="minorHAnsi"/>
          <w:sz w:val="20"/>
          <w:szCs w:val="20"/>
        </w:rPr>
      </w:pPr>
      <w:r w:rsidRPr="00D97A31">
        <w:rPr>
          <w:rFonts w:cstheme="minorHAnsi"/>
          <w:sz w:val="20"/>
          <w:szCs w:val="20"/>
        </w:rPr>
        <w:t xml:space="preserve">Instituto Nacional de Estatística (INE). (2017). Mortalidade por causa de morte relativa a 2015. </w:t>
      </w:r>
      <w:proofErr w:type="spellStart"/>
      <w:r w:rsidRPr="00D97A31">
        <w:rPr>
          <w:rFonts w:cstheme="minorHAnsi"/>
          <w:sz w:val="20"/>
          <w:szCs w:val="20"/>
        </w:rPr>
        <w:t>Disponivel</w:t>
      </w:r>
      <w:proofErr w:type="spellEnd"/>
      <w:r w:rsidRPr="00D97A31">
        <w:rPr>
          <w:rFonts w:cstheme="minorHAnsi"/>
          <w:sz w:val="20"/>
          <w:szCs w:val="20"/>
        </w:rPr>
        <w:t xml:space="preserve"> em: </w:t>
      </w:r>
      <w:hyperlink r:id="rId12" w:history="1">
        <w:r w:rsidR="00CA2380" w:rsidRPr="00D97A31">
          <w:rPr>
            <w:rStyle w:val="Hiperligao"/>
            <w:rFonts w:cstheme="minorHAnsi"/>
            <w:sz w:val="20"/>
            <w:szCs w:val="20"/>
          </w:rPr>
          <w:t>https://www.ine.pt/xportal/xmain?xpid=INE&amp;xpgid=ine_base_dados</w:t>
        </w:r>
      </w:hyperlink>
    </w:p>
    <w:p w:rsidR="00E17021" w:rsidRPr="00D97A31" w:rsidRDefault="00E17021" w:rsidP="00802CF5">
      <w:pPr>
        <w:shd w:val="clear" w:color="auto" w:fill="FFFFFF" w:themeFill="background1"/>
        <w:autoSpaceDE w:val="0"/>
        <w:autoSpaceDN w:val="0"/>
        <w:adjustRightInd w:val="0"/>
        <w:spacing w:after="0" w:line="360" w:lineRule="auto"/>
        <w:ind w:left="284"/>
        <w:rPr>
          <w:rFonts w:cstheme="minorHAnsi"/>
          <w:sz w:val="20"/>
          <w:szCs w:val="20"/>
        </w:rPr>
      </w:pPr>
      <w:proofErr w:type="spellStart"/>
      <w:r w:rsidRPr="00D97A31">
        <w:rPr>
          <w:rFonts w:cstheme="minorHAnsi"/>
          <w:sz w:val="20"/>
          <w:szCs w:val="20"/>
        </w:rPr>
        <w:t>Kimura</w:t>
      </w:r>
      <w:proofErr w:type="spellEnd"/>
      <w:r w:rsidRPr="00D97A31">
        <w:rPr>
          <w:rFonts w:cstheme="minorHAnsi"/>
          <w:sz w:val="20"/>
          <w:szCs w:val="20"/>
        </w:rPr>
        <w:t xml:space="preserve">, </w:t>
      </w:r>
      <w:proofErr w:type="gramStart"/>
      <w:r w:rsidRPr="00D97A31">
        <w:rPr>
          <w:rFonts w:cstheme="minorHAnsi"/>
          <w:sz w:val="20"/>
          <w:szCs w:val="20"/>
        </w:rPr>
        <w:t>M,.</w:t>
      </w:r>
      <w:proofErr w:type="gramEnd"/>
      <w:r w:rsidRPr="00D97A31">
        <w:rPr>
          <w:rFonts w:cstheme="minorHAnsi"/>
          <w:sz w:val="20"/>
          <w:szCs w:val="20"/>
        </w:rPr>
        <w:t xml:space="preserve"> e Silva, J. V. (2009). Índice de Qualidade de Vida de </w:t>
      </w:r>
      <w:proofErr w:type="spellStart"/>
      <w:r w:rsidRPr="00D97A31">
        <w:rPr>
          <w:rFonts w:cstheme="minorHAnsi"/>
          <w:sz w:val="20"/>
          <w:szCs w:val="20"/>
        </w:rPr>
        <w:t>Ferrans</w:t>
      </w:r>
      <w:proofErr w:type="spellEnd"/>
      <w:r w:rsidRPr="00D97A31">
        <w:rPr>
          <w:rFonts w:cstheme="minorHAnsi"/>
          <w:sz w:val="20"/>
          <w:szCs w:val="20"/>
        </w:rPr>
        <w:t xml:space="preserve"> e </w:t>
      </w:r>
      <w:proofErr w:type="spellStart"/>
      <w:r w:rsidRPr="00D97A31">
        <w:rPr>
          <w:rFonts w:cstheme="minorHAnsi"/>
          <w:sz w:val="20"/>
          <w:szCs w:val="20"/>
        </w:rPr>
        <w:t>Powers</w:t>
      </w:r>
      <w:proofErr w:type="spellEnd"/>
      <w:r w:rsidRPr="00D97A31">
        <w:rPr>
          <w:rFonts w:cstheme="minorHAnsi"/>
          <w:sz w:val="20"/>
          <w:szCs w:val="20"/>
        </w:rPr>
        <w:t xml:space="preserve">. </w:t>
      </w:r>
      <w:r w:rsidRPr="00D97A31">
        <w:rPr>
          <w:rFonts w:cstheme="minorHAnsi"/>
          <w:i/>
          <w:sz w:val="20"/>
          <w:szCs w:val="20"/>
        </w:rPr>
        <w:t>Revista Escola de Enfermagem USP</w:t>
      </w:r>
      <w:r w:rsidRPr="00D97A31">
        <w:rPr>
          <w:rFonts w:cstheme="minorHAnsi"/>
          <w:sz w:val="20"/>
          <w:szCs w:val="20"/>
        </w:rPr>
        <w:t>.</w:t>
      </w:r>
    </w:p>
    <w:p w:rsidR="00E17021" w:rsidRPr="00D97A31" w:rsidRDefault="00E17021" w:rsidP="00802CF5">
      <w:pPr>
        <w:shd w:val="clear" w:color="auto" w:fill="FFFFFF" w:themeFill="background1"/>
        <w:autoSpaceDE w:val="0"/>
        <w:autoSpaceDN w:val="0"/>
        <w:adjustRightInd w:val="0"/>
        <w:spacing w:after="0" w:line="360" w:lineRule="auto"/>
        <w:ind w:left="284"/>
        <w:rPr>
          <w:rFonts w:cstheme="minorHAnsi"/>
          <w:sz w:val="20"/>
          <w:szCs w:val="20"/>
        </w:rPr>
      </w:pPr>
      <w:r w:rsidRPr="00D97A31">
        <w:rPr>
          <w:rFonts w:cstheme="minorHAnsi"/>
          <w:sz w:val="20"/>
          <w:szCs w:val="20"/>
        </w:rPr>
        <w:t xml:space="preserve">Lomba, L., Apóstolo, J., </w:t>
      </w:r>
      <w:r w:rsidR="00415C82" w:rsidRPr="00D97A31">
        <w:rPr>
          <w:rFonts w:cstheme="minorHAnsi"/>
          <w:sz w:val="20"/>
          <w:szCs w:val="20"/>
        </w:rPr>
        <w:t>Azeredo, Z., &amp;</w:t>
      </w:r>
      <w:r w:rsidRPr="00D97A31">
        <w:rPr>
          <w:rFonts w:cstheme="minorHAnsi"/>
          <w:sz w:val="20"/>
          <w:szCs w:val="20"/>
        </w:rPr>
        <w:t xml:space="preserve"> Mendes, F. (2011). Contextos recreativos </w:t>
      </w:r>
      <w:proofErr w:type="spellStart"/>
      <w:r w:rsidRPr="00D97A31">
        <w:rPr>
          <w:rFonts w:cstheme="minorHAnsi"/>
          <w:sz w:val="20"/>
          <w:szCs w:val="20"/>
        </w:rPr>
        <w:t>nocturnos</w:t>
      </w:r>
      <w:proofErr w:type="spellEnd"/>
      <w:r w:rsidRPr="00D97A31">
        <w:rPr>
          <w:rFonts w:cstheme="minorHAnsi"/>
          <w:sz w:val="20"/>
          <w:szCs w:val="20"/>
        </w:rPr>
        <w:t xml:space="preserve"> e consumo de álcool e drogas: Determinantes de comportamentos rodoviários de risco. </w:t>
      </w:r>
      <w:r w:rsidRPr="00D97A31">
        <w:rPr>
          <w:rFonts w:cstheme="minorHAnsi"/>
          <w:i/>
          <w:sz w:val="20"/>
          <w:szCs w:val="20"/>
        </w:rPr>
        <w:t>Revista Toxicodependências, 17</w:t>
      </w:r>
      <w:r w:rsidRPr="00D97A31">
        <w:rPr>
          <w:rFonts w:cstheme="minorHAnsi"/>
          <w:sz w:val="20"/>
          <w:szCs w:val="20"/>
        </w:rPr>
        <w:t xml:space="preserve">(3). Disponível em </w:t>
      </w:r>
      <w:hyperlink r:id="rId13" w:history="1">
        <w:r w:rsidRPr="00D97A31">
          <w:rPr>
            <w:rStyle w:val="Hiperligao"/>
            <w:rFonts w:cstheme="minorHAnsi"/>
            <w:color w:val="0000FF"/>
            <w:sz w:val="20"/>
            <w:szCs w:val="20"/>
          </w:rPr>
          <w:t>http://www.idt.pt/PT/RevistaToxicodependencias/Paginas/Temas.aspx</w:t>
        </w:r>
      </w:hyperlink>
      <w:r w:rsidRPr="00D97A31">
        <w:rPr>
          <w:rFonts w:cstheme="minorHAnsi"/>
          <w:sz w:val="20"/>
          <w:szCs w:val="20"/>
        </w:rPr>
        <w:t xml:space="preserve"> </w:t>
      </w:r>
    </w:p>
    <w:p w:rsidR="00E17021" w:rsidRPr="00D97A31" w:rsidRDefault="00E17021" w:rsidP="00802CF5">
      <w:pPr>
        <w:shd w:val="clear" w:color="auto" w:fill="FFFFFF" w:themeFill="background1"/>
        <w:autoSpaceDE w:val="0"/>
        <w:autoSpaceDN w:val="0"/>
        <w:adjustRightInd w:val="0"/>
        <w:spacing w:after="0" w:line="360" w:lineRule="auto"/>
        <w:ind w:left="284"/>
        <w:rPr>
          <w:rFonts w:cstheme="minorHAnsi"/>
          <w:sz w:val="20"/>
          <w:szCs w:val="20"/>
          <w:lang w:val="en-US"/>
        </w:rPr>
      </w:pPr>
      <w:proofErr w:type="spellStart"/>
      <w:r w:rsidRPr="00D97A31">
        <w:rPr>
          <w:rFonts w:cstheme="minorHAnsi"/>
          <w:sz w:val="20"/>
          <w:szCs w:val="20"/>
          <w:lang w:val="en-US"/>
        </w:rPr>
        <w:t>Maeyer</w:t>
      </w:r>
      <w:proofErr w:type="spellEnd"/>
      <w:r w:rsidRPr="00D97A31">
        <w:rPr>
          <w:rFonts w:cstheme="minorHAnsi"/>
          <w:sz w:val="20"/>
          <w:szCs w:val="20"/>
          <w:lang w:val="en-US"/>
        </w:rPr>
        <w:t xml:space="preserve">, J., </w:t>
      </w:r>
      <w:proofErr w:type="spellStart"/>
      <w:r w:rsidRPr="00D97A31">
        <w:rPr>
          <w:rFonts w:cstheme="minorHAnsi"/>
          <w:sz w:val="20"/>
          <w:szCs w:val="20"/>
          <w:lang w:val="en-US"/>
        </w:rPr>
        <w:t>Vanderplasschen</w:t>
      </w:r>
      <w:proofErr w:type="spellEnd"/>
      <w:r w:rsidRPr="00D97A31">
        <w:rPr>
          <w:rFonts w:cstheme="minorHAnsi"/>
          <w:sz w:val="20"/>
          <w:szCs w:val="20"/>
          <w:lang w:val="en-US"/>
        </w:rPr>
        <w:t xml:space="preserve">, W., &amp; </w:t>
      </w:r>
      <w:proofErr w:type="spellStart"/>
      <w:r w:rsidRPr="00D97A31">
        <w:rPr>
          <w:rFonts w:cstheme="minorHAnsi"/>
          <w:sz w:val="20"/>
          <w:szCs w:val="20"/>
          <w:lang w:val="en-US"/>
        </w:rPr>
        <w:t>Broekaert</w:t>
      </w:r>
      <w:proofErr w:type="spellEnd"/>
      <w:r w:rsidRPr="00D97A31">
        <w:rPr>
          <w:rFonts w:cstheme="minorHAnsi"/>
          <w:sz w:val="20"/>
          <w:szCs w:val="20"/>
          <w:lang w:val="en-US"/>
        </w:rPr>
        <w:t xml:space="preserve">, E. (2010) Quality of life among opiate-dependent individuals: A review of the literature. </w:t>
      </w:r>
      <w:r w:rsidRPr="00D97A31">
        <w:rPr>
          <w:rFonts w:cstheme="minorHAnsi"/>
          <w:i/>
          <w:sz w:val="20"/>
          <w:szCs w:val="20"/>
          <w:lang w:val="en-US"/>
        </w:rPr>
        <w:t>International Journal of Drug Policy, 21</w:t>
      </w:r>
      <w:r w:rsidRPr="00D97A31">
        <w:rPr>
          <w:rFonts w:cstheme="minorHAnsi"/>
          <w:sz w:val="20"/>
          <w:szCs w:val="20"/>
          <w:lang w:val="en-US"/>
        </w:rPr>
        <w:t>, 364-380.</w:t>
      </w:r>
    </w:p>
    <w:p w:rsidR="00E17021" w:rsidRPr="00D97A31" w:rsidRDefault="00E17021" w:rsidP="00802CF5">
      <w:pPr>
        <w:shd w:val="clear" w:color="auto" w:fill="FFFFFF" w:themeFill="background1"/>
        <w:autoSpaceDE w:val="0"/>
        <w:autoSpaceDN w:val="0"/>
        <w:adjustRightInd w:val="0"/>
        <w:spacing w:after="0" w:line="360" w:lineRule="auto"/>
        <w:ind w:left="284"/>
        <w:rPr>
          <w:rFonts w:eastAsia="Calibri" w:cstheme="minorHAnsi"/>
          <w:sz w:val="20"/>
          <w:szCs w:val="20"/>
        </w:rPr>
      </w:pPr>
      <w:proofErr w:type="spellStart"/>
      <w:r w:rsidRPr="00D97A31">
        <w:rPr>
          <w:rFonts w:eastAsia="Calibri" w:cstheme="minorHAnsi"/>
          <w:sz w:val="20"/>
          <w:szCs w:val="20"/>
          <w:lang w:val="en-US"/>
        </w:rPr>
        <w:t>Meleis</w:t>
      </w:r>
      <w:proofErr w:type="spellEnd"/>
      <w:r w:rsidRPr="00D97A31">
        <w:rPr>
          <w:rFonts w:eastAsia="Calibri" w:cstheme="minorHAnsi"/>
          <w:sz w:val="20"/>
          <w:szCs w:val="20"/>
          <w:lang w:val="en-US"/>
        </w:rPr>
        <w:t xml:space="preserve">, A. I. (2007). </w:t>
      </w:r>
      <w:r w:rsidRPr="00D97A31">
        <w:rPr>
          <w:rFonts w:eastAsia="Calibri" w:cstheme="minorHAnsi"/>
          <w:i/>
          <w:sz w:val="20"/>
          <w:szCs w:val="20"/>
          <w:lang w:val="en-US"/>
        </w:rPr>
        <w:t>Theoretical nursing: Development and progress</w:t>
      </w:r>
      <w:r w:rsidRPr="00D97A31">
        <w:rPr>
          <w:rFonts w:eastAsia="Calibri" w:cstheme="minorHAnsi"/>
          <w:sz w:val="20"/>
          <w:szCs w:val="20"/>
          <w:lang w:val="en-US"/>
        </w:rPr>
        <w:t xml:space="preserve">. </w:t>
      </w:r>
      <w:r w:rsidRPr="00D97A31">
        <w:rPr>
          <w:rFonts w:eastAsia="Calibri" w:cstheme="minorHAnsi"/>
          <w:sz w:val="20"/>
          <w:szCs w:val="20"/>
        </w:rPr>
        <w:t xml:space="preserve">Philadelphia: </w:t>
      </w:r>
      <w:proofErr w:type="spellStart"/>
      <w:r w:rsidRPr="00D97A31">
        <w:rPr>
          <w:rFonts w:eastAsia="Calibri" w:cstheme="minorHAnsi"/>
          <w:sz w:val="20"/>
          <w:szCs w:val="20"/>
        </w:rPr>
        <w:t>Lippincott</w:t>
      </w:r>
      <w:proofErr w:type="spellEnd"/>
      <w:r w:rsidRPr="00D97A31">
        <w:rPr>
          <w:rFonts w:eastAsia="Calibri" w:cstheme="minorHAnsi"/>
          <w:sz w:val="20"/>
          <w:szCs w:val="20"/>
        </w:rPr>
        <w:t xml:space="preserve"> &amp; </w:t>
      </w:r>
      <w:proofErr w:type="spellStart"/>
      <w:r w:rsidRPr="00D97A31">
        <w:rPr>
          <w:rFonts w:eastAsia="Calibri" w:cstheme="minorHAnsi"/>
          <w:sz w:val="20"/>
          <w:szCs w:val="20"/>
        </w:rPr>
        <w:t>Wilkins</w:t>
      </w:r>
      <w:proofErr w:type="spellEnd"/>
      <w:r w:rsidRPr="00D97A31">
        <w:rPr>
          <w:rFonts w:eastAsia="Calibri" w:cstheme="minorHAnsi"/>
          <w:sz w:val="20"/>
          <w:szCs w:val="20"/>
        </w:rPr>
        <w:t xml:space="preserve">. </w:t>
      </w:r>
    </w:p>
    <w:p w:rsidR="002D0AE9" w:rsidRPr="00CA2EFC" w:rsidRDefault="002D0AE9" w:rsidP="00802CF5">
      <w:pPr>
        <w:shd w:val="clear" w:color="auto" w:fill="FFFFFF" w:themeFill="background1"/>
        <w:tabs>
          <w:tab w:val="left" w:pos="4740"/>
        </w:tabs>
        <w:spacing w:after="0" w:line="360" w:lineRule="auto"/>
        <w:ind w:left="284"/>
        <w:rPr>
          <w:rFonts w:cstheme="minorHAnsi"/>
          <w:sz w:val="20"/>
          <w:szCs w:val="20"/>
        </w:rPr>
      </w:pPr>
      <w:r w:rsidRPr="00D97A31">
        <w:rPr>
          <w:rFonts w:cstheme="minorHAnsi"/>
          <w:sz w:val="20"/>
          <w:szCs w:val="20"/>
        </w:rPr>
        <w:t xml:space="preserve">Moreira TC, Figueiró LR, Fernandes S, Justo FM, Dias IR, Barros HM </w:t>
      </w:r>
      <w:proofErr w:type="spellStart"/>
      <w:r w:rsidRPr="00D97A31">
        <w:rPr>
          <w:rFonts w:cstheme="minorHAnsi"/>
          <w:sz w:val="20"/>
          <w:szCs w:val="20"/>
        </w:rPr>
        <w:t>et</w:t>
      </w:r>
      <w:proofErr w:type="spellEnd"/>
      <w:r w:rsidRPr="00D97A31">
        <w:rPr>
          <w:rFonts w:cstheme="minorHAnsi"/>
          <w:sz w:val="20"/>
          <w:szCs w:val="20"/>
        </w:rPr>
        <w:t xml:space="preserve"> al. </w:t>
      </w:r>
      <w:r w:rsidRPr="00D97A31">
        <w:rPr>
          <w:rFonts w:cstheme="minorHAnsi"/>
          <w:sz w:val="20"/>
          <w:szCs w:val="20"/>
          <w:lang w:val="en-US"/>
        </w:rPr>
        <w:t xml:space="preserve">(2013). Quality of life of users of psychoactive substances, relatives, and non-users assessed using the </w:t>
      </w:r>
      <w:proofErr w:type="spellStart"/>
      <w:r w:rsidRPr="00D97A31">
        <w:rPr>
          <w:rFonts w:cstheme="minorHAnsi"/>
          <w:sz w:val="20"/>
          <w:szCs w:val="20"/>
          <w:lang w:val="en-US"/>
        </w:rPr>
        <w:t>Whoqol-Bref</w:t>
      </w:r>
      <w:proofErr w:type="spellEnd"/>
      <w:r w:rsidRPr="00D97A31">
        <w:rPr>
          <w:rFonts w:cstheme="minorHAnsi"/>
          <w:sz w:val="20"/>
          <w:szCs w:val="20"/>
          <w:lang w:val="en-US"/>
        </w:rPr>
        <w:t xml:space="preserve">. </w:t>
      </w:r>
      <w:proofErr w:type="spellStart"/>
      <w:r w:rsidRPr="00CA2EFC">
        <w:rPr>
          <w:rFonts w:cstheme="minorHAnsi"/>
          <w:sz w:val="20"/>
          <w:szCs w:val="20"/>
        </w:rPr>
        <w:t>Cien</w:t>
      </w:r>
      <w:proofErr w:type="spellEnd"/>
      <w:r w:rsidRPr="00CA2EFC">
        <w:rPr>
          <w:rFonts w:cstheme="minorHAnsi"/>
          <w:sz w:val="20"/>
          <w:szCs w:val="20"/>
        </w:rPr>
        <w:t xml:space="preserve"> Saúde Colet.;18(7):1953-62.</w:t>
      </w:r>
    </w:p>
    <w:p w:rsidR="00E17021" w:rsidRPr="00D97A31" w:rsidRDefault="00E17021" w:rsidP="00802CF5">
      <w:pPr>
        <w:shd w:val="clear" w:color="auto" w:fill="FFFFFF" w:themeFill="background1"/>
        <w:autoSpaceDE w:val="0"/>
        <w:autoSpaceDN w:val="0"/>
        <w:adjustRightInd w:val="0"/>
        <w:spacing w:after="0" w:line="360" w:lineRule="auto"/>
        <w:ind w:left="284"/>
        <w:rPr>
          <w:rFonts w:cstheme="minorHAnsi"/>
          <w:sz w:val="20"/>
          <w:szCs w:val="20"/>
        </w:rPr>
      </w:pPr>
      <w:r w:rsidRPr="00D97A31">
        <w:rPr>
          <w:rFonts w:cstheme="minorHAnsi"/>
          <w:sz w:val="20"/>
          <w:szCs w:val="20"/>
        </w:rPr>
        <w:t xml:space="preserve">Pinto, C. A. S. (1998). </w:t>
      </w:r>
      <w:r w:rsidRPr="00D97A31">
        <w:rPr>
          <w:rFonts w:cstheme="minorHAnsi"/>
          <w:i/>
          <w:sz w:val="20"/>
          <w:szCs w:val="20"/>
        </w:rPr>
        <w:t>A qualidade de vida dos jovens/adultos submetidos a transplante renal na infância</w:t>
      </w:r>
      <w:r w:rsidRPr="00D97A31">
        <w:rPr>
          <w:rFonts w:cstheme="minorHAnsi"/>
          <w:sz w:val="20"/>
          <w:szCs w:val="20"/>
        </w:rPr>
        <w:t xml:space="preserve"> (Tese de Mestrado não publicada). Porto: Faculdade de Psicologia e Ciências da Educação da Universidade do Porto.</w:t>
      </w:r>
    </w:p>
    <w:p w:rsidR="00E17021" w:rsidRPr="00D97A31" w:rsidRDefault="00E17021" w:rsidP="00802CF5">
      <w:pPr>
        <w:shd w:val="clear" w:color="auto" w:fill="FFFFFF" w:themeFill="background1"/>
        <w:autoSpaceDE w:val="0"/>
        <w:autoSpaceDN w:val="0"/>
        <w:adjustRightInd w:val="0"/>
        <w:spacing w:after="0" w:line="360" w:lineRule="auto"/>
        <w:ind w:left="284"/>
        <w:rPr>
          <w:rFonts w:cstheme="minorHAnsi"/>
          <w:sz w:val="20"/>
          <w:szCs w:val="20"/>
        </w:rPr>
      </w:pPr>
      <w:r w:rsidRPr="00D97A31">
        <w:rPr>
          <w:rFonts w:cstheme="minorHAnsi"/>
          <w:sz w:val="20"/>
          <w:szCs w:val="20"/>
        </w:rPr>
        <w:t>Ribeiro, J. L. P. (</w:t>
      </w:r>
      <w:r w:rsidR="008E5FCF" w:rsidRPr="00D97A31">
        <w:rPr>
          <w:rFonts w:cstheme="minorHAnsi"/>
          <w:sz w:val="20"/>
          <w:szCs w:val="20"/>
        </w:rPr>
        <w:t>2010</w:t>
      </w:r>
      <w:r w:rsidRPr="00D97A31">
        <w:rPr>
          <w:rFonts w:cstheme="minorHAnsi"/>
          <w:sz w:val="20"/>
          <w:szCs w:val="20"/>
        </w:rPr>
        <w:t xml:space="preserve">). </w:t>
      </w:r>
      <w:r w:rsidRPr="00D97A31">
        <w:rPr>
          <w:rFonts w:cstheme="minorHAnsi"/>
          <w:i/>
          <w:sz w:val="20"/>
          <w:szCs w:val="20"/>
        </w:rPr>
        <w:t>Investigação e avaliação em psicologia e saúde</w:t>
      </w:r>
      <w:r w:rsidRPr="00D97A31">
        <w:rPr>
          <w:rFonts w:cstheme="minorHAnsi"/>
          <w:sz w:val="20"/>
          <w:szCs w:val="20"/>
        </w:rPr>
        <w:t xml:space="preserve"> (</w:t>
      </w:r>
      <w:r w:rsidR="008E5FCF" w:rsidRPr="00D97A31">
        <w:rPr>
          <w:rFonts w:cstheme="minorHAnsi"/>
          <w:sz w:val="20"/>
          <w:szCs w:val="20"/>
        </w:rPr>
        <w:t>2</w:t>
      </w:r>
      <w:r w:rsidRPr="00D97A31">
        <w:rPr>
          <w:rFonts w:cstheme="minorHAnsi"/>
          <w:sz w:val="20"/>
          <w:szCs w:val="20"/>
        </w:rPr>
        <w:t>ª ed.). Lisboa: Climepsi Editores.</w:t>
      </w:r>
      <w:r w:rsidR="008E5FCF" w:rsidRPr="00D97A31">
        <w:rPr>
          <w:rFonts w:cstheme="minorHAnsi"/>
          <w:sz w:val="20"/>
          <w:szCs w:val="20"/>
        </w:rPr>
        <w:t xml:space="preserve"> ISBN: 978-989-8463-01-2</w:t>
      </w:r>
    </w:p>
    <w:p w:rsidR="002D0AE9" w:rsidRPr="00D97A31" w:rsidRDefault="002D0AE9" w:rsidP="00802CF5">
      <w:pPr>
        <w:shd w:val="clear" w:color="auto" w:fill="FFFFFF" w:themeFill="background1"/>
        <w:tabs>
          <w:tab w:val="left" w:pos="4740"/>
        </w:tabs>
        <w:spacing w:after="0" w:line="360" w:lineRule="auto"/>
        <w:ind w:left="284"/>
        <w:rPr>
          <w:rFonts w:cstheme="minorHAnsi"/>
          <w:sz w:val="20"/>
          <w:szCs w:val="20"/>
        </w:rPr>
      </w:pPr>
      <w:r w:rsidRPr="00D97A31">
        <w:rPr>
          <w:rFonts w:cstheme="minorHAnsi"/>
          <w:sz w:val="20"/>
          <w:szCs w:val="20"/>
        </w:rPr>
        <w:t>Rocha, B.M.P.; Martins, A.I.; Pereira, M.M.; Santos, P.I. &amp; Mestre, R. E. (2013). Perfil de saúde dos adolescentes de uma cidade no Algarve. Revista de Enf</w:t>
      </w:r>
      <w:r w:rsidR="008B5F4D">
        <w:rPr>
          <w:rFonts w:cstheme="minorHAnsi"/>
          <w:sz w:val="20"/>
          <w:szCs w:val="20"/>
        </w:rPr>
        <w:t xml:space="preserve">ermagem Referência. III Série- </w:t>
      </w:r>
      <w:proofErr w:type="gramStart"/>
      <w:r w:rsidR="008B5F4D">
        <w:rPr>
          <w:rFonts w:cstheme="minorHAnsi"/>
          <w:sz w:val="20"/>
          <w:szCs w:val="20"/>
        </w:rPr>
        <w:t>N</w:t>
      </w:r>
      <w:r w:rsidRPr="00D97A31">
        <w:rPr>
          <w:rFonts w:cstheme="minorHAnsi"/>
          <w:sz w:val="20"/>
          <w:szCs w:val="20"/>
        </w:rPr>
        <w:t>.º</w:t>
      </w:r>
      <w:proofErr w:type="gramEnd"/>
      <w:r w:rsidRPr="00D97A31">
        <w:rPr>
          <w:rFonts w:cstheme="minorHAnsi"/>
          <w:sz w:val="20"/>
          <w:szCs w:val="20"/>
        </w:rPr>
        <w:t>9 – Mar 2013; pp85-93.</w:t>
      </w:r>
    </w:p>
    <w:p w:rsidR="0064605D" w:rsidRPr="00D97A31" w:rsidRDefault="0064605D" w:rsidP="00802CF5">
      <w:pPr>
        <w:shd w:val="clear" w:color="auto" w:fill="FFFFFF" w:themeFill="background1"/>
        <w:autoSpaceDE w:val="0"/>
        <w:autoSpaceDN w:val="0"/>
        <w:adjustRightInd w:val="0"/>
        <w:spacing w:after="0" w:line="360" w:lineRule="auto"/>
        <w:ind w:left="284"/>
        <w:rPr>
          <w:rFonts w:eastAsia="Calibri" w:cstheme="minorHAnsi"/>
          <w:sz w:val="20"/>
          <w:szCs w:val="20"/>
        </w:rPr>
      </w:pPr>
      <w:r w:rsidRPr="00D97A31">
        <w:rPr>
          <w:rFonts w:eastAsia="Calibri" w:cstheme="minorHAnsi"/>
          <w:sz w:val="20"/>
          <w:szCs w:val="20"/>
        </w:rPr>
        <w:lastRenderedPageBreak/>
        <w:t>Seabra, P.; Amendoeira, J. &amp; Sá, L. (2013). Qualidade de vida e saúde mental em consumidores de drogas</w:t>
      </w:r>
      <w:proofErr w:type="gramStart"/>
      <w:r w:rsidRPr="00D97A31">
        <w:rPr>
          <w:rFonts w:eastAsia="Calibri" w:cstheme="minorHAnsi"/>
          <w:sz w:val="20"/>
          <w:szCs w:val="20"/>
        </w:rPr>
        <w:t>: Que</w:t>
      </w:r>
      <w:proofErr w:type="gramEnd"/>
      <w:r w:rsidRPr="00D97A31">
        <w:rPr>
          <w:rFonts w:eastAsia="Calibri" w:cstheme="minorHAnsi"/>
          <w:sz w:val="20"/>
          <w:szCs w:val="20"/>
        </w:rPr>
        <w:t xml:space="preserve"> relação?</w:t>
      </w:r>
    </w:p>
    <w:p w:rsidR="00746352" w:rsidRPr="00CA2EFC" w:rsidRDefault="00746352" w:rsidP="00802CF5">
      <w:pPr>
        <w:shd w:val="clear" w:color="auto" w:fill="FFFFFF" w:themeFill="background1"/>
        <w:autoSpaceDE w:val="0"/>
        <w:autoSpaceDN w:val="0"/>
        <w:adjustRightInd w:val="0"/>
        <w:spacing w:after="0" w:line="360" w:lineRule="auto"/>
        <w:ind w:left="284"/>
        <w:rPr>
          <w:rFonts w:eastAsia="Calibri" w:cstheme="minorHAnsi"/>
          <w:sz w:val="20"/>
          <w:szCs w:val="20"/>
        </w:rPr>
      </w:pPr>
      <w:r w:rsidRPr="00D97A31">
        <w:rPr>
          <w:rFonts w:eastAsia="Calibri" w:cstheme="minorHAnsi"/>
          <w:sz w:val="20"/>
          <w:szCs w:val="20"/>
        </w:rPr>
        <w:t xml:space="preserve">Silveira, E.S.; Santos, A.S. &amp; Pereira, G.A. (2014). Consumo de álcool, tabaco e outras drogas entre adolescentes do ensino fundamental de um município brasileiro. </w:t>
      </w:r>
      <w:r w:rsidRPr="00CA2EFC">
        <w:rPr>
          <w:rFonts w:eastAsia="Calibri" w:cstheme="minorHAnsi"/>
          <w:sz w:val="20"/>
          <w:szCs w:val="20"/>
        </w:rPr>
        <w:t xml:space="preserve">Revista de Enfermagem Referência. Série IV – </w:t>
      </w:r>
      <w:proofErr w:type="gramStart"/>
      <w:r w:rsidRPr="00CA2EFC">
        <w:rPr>
          <w:rFonts w:eastAsia="Calibri" w:cstheme="minorHAnsi"/>
          <w:sz w:val="20"/>
          <w:szCs w:val="20"/>
        </w:rPr>
        <w:t>n.º</w:t>
      </w:r>
      <w:proofErr w:type="gramEnd"/>
      <w:r w:rsidRPr="00CA2EFC">
        <w:rPr>
          <w:rFonts w:eastAsia="Calibri" w:cstheme="minorHAnsi"/>
          <w:sz w:val="20"/>
          <w:szCs w:val="20"/>
        </w:rPr>
        <w:t xml:space="preserve">2 – </w:t>
      </w:r>
      <w:proofErr w:type="spellStart"/>
      <w:r w:rsidRPr="00CA2EFC">
        <w:rPr>
          <w:rFonts w:eastAsia="Calibri" w:cstheme="minorHAnsi"/>
          <w:sz w:val="20"/>
          <w:szCs w:val="20"/>
        </w:rPr>
        <w:t>mai</w:t>
      </w:r>
      <w:proofErr w:type="spellEnd"/>
      <w:r w:rsidRPr="00CA2EFC">
        <w:rPr>
          <w:rFonts w:eastAsia="Calibri" w:cstheme="minorHAnsi"/>
          <w:sz w:val="20"/>
          <w:szCs w:val="20"/>
        </w:rPr>
        <w:t>/jun. pp.51-60.</w:t>
      </w:r>
    </w:p>
    <w:p w:rsidR="00E17021" w:rsidRPr="00D97A31" w:rsidRDefault="00E17021" w:rsidP="00802CF5">
      <w:pPr>
        <w:shd w:val="clear" w:color="auto" w:fill="FFFFFF" w:themeFill="background1"/>
        <w:autoSpaceDE w:val="0"/>
        <w:autoSpaceDN w:val="0"/>
        <w:adjustRightInd w:val="0"/>
        <w:spacing w:after="0" w:line="360" w:lineRule="auto"/>
        <w:ind w:left="284"/>
        <w:rPr>
          <w:rFonts w:eastAsia="Calibri" w:cstheme="minorHAnsi"/>
          <w:sz w:val="20"/>
          <w:szCs w:val="20"/>
          <w:lang w:val="en-US"/>
        </w:rPr>
      </w:pPr>
      <w:bookmarkStart w:id="71" w:name="_Hlk484696508"/>
      <w:r w:rsidRPr="00D97A31">
        <w:rPr>
          <w:rFonts w:eastAsia="Calibri" w:cstheme="minorHAnsi"/>
          <w:sz w:val="20"/>
          <w:szCs w:val="20"/>
          <w:lang w:val="en-US"/>
        </w:rPr>
        <w:t xml:space="preserve">Teoh, J. F., Yee, A., &amp; </w:t>
      </w:r>
      <w:proofErr w:type="spellStart"/>
      <w:r w:rsidRPr="00D97A31">
        <w:rPr>
          <w:rFonts w:eastAsia="Calibri" w:cstheme="minorHAnsi"/>
          <w:sz w:val="20"/>
          <w:szCs w:val="20"/>
          <w:lang w:val="en-US"/>
        </w:rPr>
        <w:t>Habil</w:t>
      </w:r>
      <w:proofErr w:type="spellEnd"/>
      <w:r w:rsidRPr="00D97A31">
        <w:rPr>
          <w:rFonts w:eastAsia="Calibri" w:cstheme="minorHAnsi"/>
          <w:sz w:val="20"/>
          <w:szCs w:val="20"/>
          <w:lang w:val="en-US"/>
        </w:rPr>
        <w:t>, M. H. (2016</w:t>
      </w:r>
      <w:bookmarkEnd w:id="71"/>
      <w:r w:rsidRPr="00D97A31">
        <w:rPr>
          <w:rFonts w:eastAsia="Calibri" w:cstheme="minorHAnsi"/>
          <w:sz w:val="20"/>
          <w:szCs w:val="20"/>
          <w:lang w:val="en-US"/>
        </w:rPr>
        <w:t xml:space="preserve">). Psychiatric comorbidity among patients on methadone maintenance therapy and its influence on quality of life. </w:t>
      </w:r>
      <w:r w:rsidRPr="00D97A31">
        <w:rPr>
          <w:rFonts w:eastAsia="Calibri" w:cstheme="minorHAnsi"/>
          <w:i/>
          <w:sz w:val="20"/>
          <w:szCs w:val="20"/>
          <w:lang w:val="en-US"/>
        </w:rPr>
        <w:t>The American Journal on Addictions, 25</w:t>
      </w:r>
      <w:r w:rsidRPr="00D97A31">
        <w:rPr>
          <w:rFonts w:eastAsia="Calibri" w:cstheme="minorHAnsi"/>
          <w:sz w:val="20"/>
          <w:szCs w:val="20"/>
          <w:lang w:val="en-US"/>
        </w:rPr>
        <w:t>, 49-55.</w:t>
      </w:r>
    </w:p>
    <w:p w:rsidR="00E17021" w:rsidRPr="008F241D" w:rsidRDefault="00E17021" w:rsidP="00802CF5">
      <w:pPr>
        <w:shd w:val="clear" w:color="auto" w:fill="FFFFFF" w:themeFill="background1"/>
        <w:autoSpaceDE w:val="0"/>
        <w:autoSpaceDN w:val="0"/>
        <w:adjustRightInd w:val="0"/>
        <w:spacing w:after="0" w:line="360" w:lineRule="auto"/>
        <w:ind w:left="284"/>
        <w:rPr>
          <w:rFonts w:cstheme="minorHAnsi"/>
          <w:sz w:val="20"/>
          <w:szCs w:val="20"/>
          <w:lang w:val="en-US"/>
        </w:rPr>
      </w:pPr>
      <w:r w:rsidRPr="00D97A31">
        <w:rPr>
          <w:rFonts w:cstheme="minorHAnsi"/>
          <w:sz w:val="20"/>
          <w:szCs w:val="20"/>
          <w:lang w:val="en-US"/>
        </w:rPr>
        <w:t>Tracy, E. M., </w:t>
      </w:r>
      <w:proofErr w:type="spellStart"/>
      <w:r w:rsidRPr="00D97A31">
        <w:rPr>
          <w:rFonts w:cstheme="minorHAnsi"/>
          <w:sz w:val="20"/>
          <w:szCs w:val="20"/>
          <w:lang w:val="en-US"/>
        </w:rPr>
        <w:t>Laudet</w:t>
      </w:r>
      <w:proofErr w:type="spellEnd"/>
      <w:r w:rsidRPr="00D97A31">
        <w:rPr>
          <w:rFonts w:cstheme="minorHAnsi"/>
          <w:sz w:val="20"/>
          <w:szCs w:val="20"/>
          <w:lang w:val="en-US"/>
        </w:rPr>
        <w:t xml:space="preserve">, A. B., Min, M. O., Kim, H., Brown, S., Jun, M. K., &amp; Singer, L. (2012). Prospective patterns and correlates of quality of life among women in substance abuse treatment. </w:t>
      </w:r>
      <w:r w:rsidRPr="008F241D">
        <w:rPr>
          <w:rFonts w:cstheme="minorHAnsi"/>
          <w:i/>
          <w:sz w:val="20"/>
          <w:szCs w:val="20"/>
          <w:lang w:val="en-US"/>
        </w:rPr>
        <w:t>Drug and Alcohol Dependence</w:t>
      </w:r>
      <w:r w:rsidRPr="008F241D">
        <w:rPr>
          <w:rFonts w:cstheme="minorHAnsi"/>
          <w:sz w:val="20"/>
          <w:szCs w:val="20"/>
          <w:lang w:val="en-US"/>
        </w:rPr>
        <w:t xml:space="preserve">. </w:t>
      </w:r>
      <w:proofErr w:type="spellStart"/>
      <w:r w:rsidRPr="008F241D">
        <w:rPr>
          <w:rFonts w:cstheme="minorHAnsi"/>
          <w:sz w:val="20"/>
          <w:szCs w:val="20"/>
          <w:lang w:val="en-US"/>
        </w:rPr>
        <w:t>Disp</w:t>
      </w:r>
      <w:r w:rsidRPr="00D97A31">
        <w:rPr>
          <w:rFonts w:cstheme="minorHAnsi"/>
          <w:sz w:val="20"/>
          <w:szCs w:val="20"/>
        </w:rPr>
        <w:t>onível</w:t>
      </w:r>
      <w:proofErr w:type="spellEnd"/>
      <w:r w:rsidRPr="00D97A31">
        <w:rPr>
          <w:rFonts w:cstheme="minorHAnsi"/>
          <w:sz w:val="20"/>
          <w:szCs w:val="20"/>
        </w:rPr>
        <w:t xml:space="preserve"> em</w:t>
      </w:r>
      <w:r w:rsidR="008F241D">
        <w:rPr>
          <w:rFonts w:cstheme="minorHAnsi"/>
          <w:sz w:val="20"/>
          <w:szCs w:val="20"/>
        </w:rPr>
        <w:t>:</w:t>
      </w:r>
      <w:r w:rsidRPr="008F241D">
        <w:rPr>
          <w:rFonts w:cstheme="minorHAnsi"/>
          <w:sz w:val="20"/>
          <w:szCs w:val="20"/>
          <w:lang w:val="en-US"/>
        </w:rPr>
        <w:t xml:space="preserve"> </w:t>
      </w:r>
      <w:hyperlink r:id="rId14" w:history="1">
        <w:r w:rsidRPr="008F241D">
          <w:rPr>
            <w:rStyle w:val="Hiperligao"/>
            <w:rFonts w:cstheme="minorHAnsi"/>
            <w:sz w:val="20"/>
            <w:szCs w:val="20"/>
            <w:lang w:val="en-US"/>
          </w:rPr>
          <w:t>http://www.elsevier.com/locate/drugalcdep</w:t>
        </w:r>
      </w:hyperlink>
      <w:r w:rsidRPr="008F241D">
        <w:rPr>
          <w:rFonts w:cstheme="minorHAnsi"/>
          <w:sz w:val="20"/>
          <w:szCs w:val="20"/>
          <w:lang w:val="en-US"/>
        </w:rPr>
        <w:t xml:space="preserve"> </w:t>
      </w:r>
    </w:p>
    <w:p w:rsidR="00E17021" w:rsidRPr="00D97A31" w:rsidRDefault="00E17021" w:rsidP="00802CF5">
      <w:pPr>
        <w:shd w:val="clear" w:color="auto" w:fill="FFFFFF" w:themeFill="background1"/>
        <w:spacing w:after="0" w:line="360" w:lineRule="auto"/>
        <w:ind w:left="284"/>
        <w:rPr>
          <w:rFonts w:eastAsia="Calibri" w:cstheme="minorHAnsi"/>
          <w:bCs/>
          <w:sz w:val="20"/>
          <w:szCs w:val="20"/>
          <w:shd w:val="clear" w:color="auto" w:fill="FFFF00"/>
          <w:lang w:val="en-US"/>
        </w:rPr>
      </w:pPr>
      <w:bookmarkStart w:id="72" w:name="citation"/>
      <w:r w:rsidRPr="00D97A31">
        <w:rPr>
          <w:rFonts w:eastAsia="Calibri" w:cstheme="minorHAnsi"/>
          <w:sz w:val="20"/>
          <w:szCs w:val="20"/>
          <w:shd w:val="clear" w:color="auto" w:fill="FFFFFF" w:themeFill="background1"/>
          <w:lang w:val="en-US"/>
        </w:rPr>
        <w:t>Tran, B. X., </w:t>
      </w:r>
      <w:proofErr w:type="spellStart"/>
      <w:r w:rsidRPr="00D97A31">
        <w:rPr>
          <w:rFonts w:eastAsia="Calibri" w:cstheme="minorHAnsi"/>
          <w:sz w:val="20"/>
          <w:szCs w:val="20"/>
          <w:shd w:val="clear" w:color="auto" w:fill="FFFFFF" w:themeFill="background1"/>
          <w:lang w:val="en-US"/>
        </w:rPr>
        <w:t>Ohinmaa</w:t>
      </w:r>
      <w:proofErr w:type="spellEnd"/>
      <w:r w:rsidRPr="00D97A31">
        <w:rPr>
          <w:rFonts w:eastAsia="Calibri" w:cstheme="minorHAnsi"/>
          <w:sz w:val="20"/>
          <w:szCs w:val="20"/>
          <w:shd w:val="clear" w:color="auto" w:fill="FFFFFF" w:themeFill="background1"/>
          <w:lang w:val="en-US"/>
        </w:rPr>
        <w:t>, A., Duong, A. T., Do, N. T., N</w:t>
      </w:r>
      <w:r w:rsidR="00385E51" w:rsidRPr="00D97A31">
        <w:rPr>
          <w:rFonts w:eastAsia="Calibri" w:cstheme="minorHAnsi"/>
          <w:sz w:val="20"/>
          <w:szCs w:val="20"/>
          <w:shd w:val="clear" w:color="auto" w:fill="FFFFFF" w:themeFill="background1"/>
          <w:lang w:val="en-US"/>
        </w:rPr>
        <w:t>guyen, L. T., Nguyen, Q. C., </w:t>
      </w:r>
      <w:r w:rsidRPr="00D97A31">
        <w:rPr>
          <w:rFonts w:eastAsia="Calibri" w:cstheme="minorHAnsi"/>
          <w:sz w:val="20"/>
          <w:szCs w:val="20"/>
          <w:shd w:val="clear" w:color="auto" w:fill="FFFFFF" w:themeFill="background1"/>
          <w:lang w:val="en-US"/>
        </w:rPr>
        <w:t xml:space="preserve">&amp; Houston, S. (2012). Changes in drug use are associated with health-related quality of life improvements among methadone maintenance patients with HIV/AIDS. </w:t>
      </w:r>
      <w:bookmarkEnd w:id="72"/>
      <w:r w:rsidRPr="00D97A31">
        <w:rPr>
          <w:rFonts w:eastAsia="Calibri" w:cstheme="minorHAnsi"/>
          <w:i/>
          <w:sz w:val="20"/>
          <w:szCs w:val="20"/>
          <w:shd w:val="clear" w:color="auto" w:fill="FFFFFF" w:themeFill="background1"/>
          <w:lang w:val="en-US"/>
        </w:rPr>
        <w:t xml:space="preserve">Quality of Life </w:t>
      </w:r>
      <w:r w:rsidRPr="00D97A31">
        <w:rPr>
          <w:rFonts w:eastAsia="Calibri" w:cstheme="minorHAnsi"/>
          <w:sz w:val="20"/>
          <w:szCs w:val="20"/>
          <w:shd w:val="clear" w:color="auto" w:fill="FFFFFF" w:themeFill="background1"/>
          <w:lang w:val="en-US"/>
        </w:rPr>
        <w:t>Research, 21(4), 613-623</w:t>
      </w:r>
      <w:r w:rsidRPr="00D97A31">
        <w:rPr>
          <w:rFonts w:eastAsia="Times New Roman" w:cstheme="minorHAnsi"/>
          <w:sz w:val="20"/>
          <w:szCs w:val="20"/>
          <w:shd w:val="clear" w:color="auto" w:fill="FFFFFF" w:themeFill="background1"/>
          <w:lang w:val="en-US"/>
        </w:rPr>
        <w:t>.</w:t>
      </w:r>
    </w:p>
    <w:p w:rsidR="002675B1" w:rsidRPr="00D97A31" w:rsidRDefault="002675B1" w:rsidP="00802CF5">
      <w:pPr>
        <w:shd w:val="clear" w:color="auto" w:fill="FFFFFF" w:themeFill="background1"/>
        <w:tabs>
          <w:tab w:val="left" w:pos="4740"/>
        </w:tabs>
        <w:spacing w:after="0" w:line="360" w:lineRule="auto"/>
        <w:ind w:left="284"/>
        <w:rPr>
          <w:rFonts w:cstheme="minorHAnsi"/>
          <w:sz w:val="20"/>
          <w:szCs w:val="20"/>
          <w:lang w:val="en-US"/>
        </w:rPr>
      </w:pPr>
      <w:r w:rsidRPr="00D97A31">
        <w:rPr>
          <w:rFonts w:eastAsia="Yu Mincho" w:cstheme="minorHAnsi"/>
          <w:sz w:val="20"/>
          <w:szCs w:val="20"/>
          <w:lang w:val="en-US"/>
        </w:rPr>
        <w:t>United Nations</w:t>
      </w:r>
      <w:r w:rsidR="005043F3" w:rsidRPr="00D97A31">
        <w:rPr>
          <w:rFonts w:eastAsia="Yu Mincho" w:cstheme="minorHAnsi"/>
          <w:sz w:val="20"/>
          <w:szCs w:val="20"/>
          <w:lang w:val="en-US"/>
        </w:rPr>
        <w:t xml:space="preserve"> (UN)</w:t>
      </w:r>
      <w:r w:rsidRPr="00D97A31">
        <w:rPr>
          <w:rFonts w:eastAsia="Yu Mincho" w:cstheme="minorHAnsi"/>
          <w:sz w:val="20"/>
          <w:szCs w:val="20"/>
          <w:lang w:val="en-US"/>
        </w:rPr>
        <w:t>. World Drug Report (2016)</w:t>
      </w:r>
      <w:r w:rsidRPr="00D97A31">
        <w:rPr>
          <w:rFonts w:cstheme="minorHAnsi"/>
          <w:sz w:val="20"/>
          <w:szCs w:val="20"/>
          <w:lang w:val="en-US"/>
        </w:rPr>
        <w:t xml:space="preserve"> </w:t>
      </w:r>
      <w:r w:rsidRPr="00D97A31">
        <w:rPr>
          <w:rFonts w:eastAsia="Yu Mincho" w:cstheme="minorHAnsi"/>
          <w:sz w:val="20"/>
          <w:szCs w:val="20"/>
          <w:lang w:val="en-US"/>
        </w:rPr>
        <w:t xml:space="preserve">United Nations Office on Drugs and Crime [UNODC], Nova York, 2016, 140p. </w:t>
      </w:r>
    </w:p>
    <w:p w:rsidR="00EF0C95" w:rsidRPr="00D97A31" w:rsidRDefault="002675B1" w:rsidP="00802CF5">
      <w:pPr>
        <w:shd w:val="clear" w:color="auto" w:fill="FFFFFF" w:themeFill="background1"/>
        <w:tabs>
          <w:tab w:val="left" w:pos="4740"/>
        </w:tabs>
        <w:spacing w:after="0" w:line="360" w:lineRule="auto"/>
        <w:ind w:left="284"/>
        <w:rPr>
          <w:rFonts w:cstheme="minorHAnsi"/>
          <w:sz w:val="20"/>
          <w:szCs w:val="20"/>
          <w:highlight w:val="green"/>
          <w:lang w:val="en-US"/>
        </w:rPr>
      </w:pPr>
      <w:r w:rsidRPr="00D97A31">
        <w:rPr>
          <w:rFonts w:cstheme="minorHAnsi"/>
          <w:sz w:val="20"/>
          <w:szCs w:val="20"/>
          <w:lang w:val="en-US"/>
        </w:rPr>
        <w:t>WORLD HEALTH ORGANIZATION</w:t>
      </w:r>
      <w:r w:rsidR="00447AFA" w:rsidRPr="00D97A31">
        <w:rPr>
          <w:rFonts w:cstheme="minorHAnsi"/>
          <w:sz w:val="20"/>
          <w:szCs w:val="20"/>
          <w:lang w:val="en-US"/>
        </w:rPr>
        <w:t xml:space="preserve"> (WHO). (2014)</w:t>
      </w:r>
      <w:r w:rsidRPr="00D97A31">
        <w:rPr>
          <w:rFonts w:cstheme="minorHAnsi"/>
          <w:sz w:val="20"/>
          <w:szCs w:val="20"/>
          <w:lang w:val="en-US"/>
        </w:rPr>
        <w:t>. Global status report on a</w:t>
      </w:r>
      <w:r w:rsidR="00447AFA" w:rsidRPr="00D97A31">
        <w:rPr>
          <w:rFonts w:cstheme="minorHAnsi"/>
          <w:sz w:val="20"/>
          <w:szCs w:val="20"/>
          <w:lang w:val="en-US"/>
        </w:rPr>
        <w:t>lcohol and health. Geneva,</w:t>
      </w:r>
      <w:r w:rsidR="002D0AE9" w:rsidRPr="00D97A31">
        <w:rPr>
          <w:rFonts w:cstheme="minorHAnsi"/>
          <w:sz w:val="20"/>
          <w:szCs w:val="20"/>
          <w:lang w:val="en-US"/>
        </w:rPr>
        <w:t xml:space="preserve"> 376p.</w:t>
      </w:r>
    </w:p>
    <w:p w:rsidR="003C4FCB" w:rsidRPr="005441BB" w:rsidRDefault="003C4FCB" w:rsidP="00802CF5">
      <w:pPr>
        <w:spacing w:after="0" w:line="360" w:lineRule="auto"/>
        <w:ind w:left="284"/>
        <w:rPr>
          <w:rFonts w:eastAsia="Calibri" w:cstheme="minorHAnsi"/>
          <w:sz w:val="20"/>
          <w:szCs w:val="20"/>
        </w:rPr>
      </w:pPr>
    </w:p>
    <w:p w:rsidR="003C4FCB" w:rsidRPr="005441BB" w:rsidRDefault="003C4FCB" w:rsidP="00802CF5">
      <w:pPr>
        <w:spacing w:line="360" w:lineRule="auto"/>
        <w:ind w:left="284"/>
        <w:rPr>
          <w:rFonts w:cstheme="minorHAnsi"/>
          <w:sz w:val="20"/>
          <w:szCs w:val="20"/>
        </w:rPr>
      </w:pPr>
    </w:p>
    <w:sectPr w:rsidR="003C4FCB" w:rsidRPr="005441BB" w:rsidSect="00694E5B">
      <w:head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12F" w:rsidRDefault="0090312F" w:rsidP="00433170">
      <w:pPr>
        <w:spacing w:after="0" w:line="240" w:lineRule="auto"/>
      </w:pPr>
      <w:r>
        <w:separator/>
      </w:r>
    </w:p>
  </w:endnote>
  <w:endnote w:type="continuationSeparator" w:id="0">
    <w:p w:rsidR="0090312F" w:rsidRDefault="0090312F" w:rsidP="00433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dvTT5843c571">
    <w:altName w:val="Cambria"/>
    <w:panose1 w:val="00000000000000000000"/>
    <w:charset w:val="00"/>
    <w:family w:val="roman"/>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12F" w:rsidRDefault="0090312F" w:rsidP="00433170">
      <w:pPr>
        <w:spacing w:after="0" w:line="240" w:lineRule="auto"/>
      </w:pPr>
      <w:r>
        <w:separator/>
      </w:r>
    </w:p>
  </w:footnote>
  <w:footnote w:type="continuationSeparator" w:id="0">
    <w:p w:rsidR="0090312F" w:rsidRDefault="0090312F" w:rsidP="00433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E4" w:rsidRDefault="00550CE4">
    <w:pPr>
      <w:pStyle w:val="Cabealho"/>
    </w:pPr>
  </w:p>
  <w:p w:rsidR="00550CE4" w:rsidRPr="00B05737" w:rsidRDefault="00550CE4" w:rsidP="00433170">
    <w:pPr>
      <w:tabs>
        <w:tab w:val="center" w:pos="4252"/>
        <w:tab w:val="right" w:pos="8504"/>
      </w:tabs>
      <w:spacing w:after="0" w:line="240" w:lineRule="auto"/>
      <w:ind w:left="-142"/>
      <w:rPr>
        <w:rFonts w:ascii="Calibri" w:eastAsia="Calibri" w:hAnsi="Calibri" w:cs="Times New Roman"/>
        <w:sz w:val="36"/>
        <w:szCs w:val="32"/>
        <w:lang w:val="en-US"/>
      </w:rPr>
    </w:pPr>
    <w:proofErr w:type="gramStart"/>
    <w:r w:rsidRPr="00B05737">
      <w:rPr>
        <w:rFonts w:ascii="Calibri" w:eastAsia="Calibri" w:hAnsi="Calibri" w:cs="Times New Roman"/>
        <w:i/>
        <w:sz w:val="36"/>
        <w:szCs w:val="32"/>
        <w:lang w:val="en-US"/>
      </w:rPr>
      <w:t>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533D9"/>
    <w:multiLevelType w:val="hybridMultilevel"/>
    <w:tmpl w:val="BD5889A4"/>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7D91E00"/>
    <w:multiLevelType w:val="multilevel"/>
    <w:tmpl w:val="416411E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CA314A"/>
    <w:multiLevelType w:val="hybridMultilevel"/>
    <w:tmpl w:val="E6D89D0E"/>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F096144"/>
    <w:multiLevelType w:val="hybridMultilevel"/>
    <w:tmpl w:val="7C7C47D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2C1C7064"/>
    <w:multiLevelType w:val="multilevel"/>
    <w:tmpl w:val="ED4400D2"/>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321643F2"/>
    <w:multiLevelType w:val="hybridMultilevel"/>
    <w:tmpl w:val="DD7EEFC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41F47171"/>
    <w:multiLevelType w:val="hybridMultilevel"/>
    <w:tmpl w:val="BCCA401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48AD5F62"/>
    <w:multiLevelType w:val="multilevel"/>
    <w:tmpl w:val="C7ACA288"/>
    <w:lvl w:ilvl="0">
      <w:start w:val="1"/>
      <w:numFmt w:val="decimal"/>
      <w:lvlText w:val="%1."/>
      <w:lvlJc w:val="left"/>
      <w:pPr>
        <w:ind w:left="720" w:hanging="360"/>
      </w:pPr>
      <w:rPr>
        <w:rFonts w:hint="default"/>
      </w:rPr>
    </w:lvl>
    <w:lvl w:ilvl="1">
      <w:start w:val="3"/>
      <w:numFmt w:val="decimal"/>
      <w:isLgl/>
      <w:lvlText w:val="%1.%2"/>
      <w:lvlJc w:val="left"/>
      <w:pPr>
        <w:ind w:left="1055" w:hanging="375"/>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8" w15:restartNumberingAfterBreak="0">
    <w:nsid w:val="60707A37"/>
    <w:multiLevelType w:val="hybridMultilevel"/>
    <w:tmpl w:val="C916C40C"/>
    <w:lvl w:ilvl="0" w:tplc="74EE3A80">
      <w:start w:val="1"/>
      <w:numFmt w:val="decimal"/>
      <w:pStyle w:val="Ttulo"/>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3C4197D"/>
    <w:multiLevelType w:val="hybridMultilevel"/>
    <w:tmpl w:val="A956D2AA"/>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4"/>
  </w:num>
  <w:num w:numId="5">
    <w:abstractNumId w:val="1"/>
  </w:num>
  <w:num w:numId="6">
    <w:abstractNumId w:val="2"/>
  </w:num>
  <w:num w:numId="7">
    <w:abstractNumId w:val="6"/>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CB"/>
    <w:rsid w:val="000146B1"/>
    <w:rsid w:val="0001519E"/>
    <w:rsid w:val="0002273B"/>
    <w:rsid w:val="000232BA"/>
    <w:rsid w:val="0003531C"/>
    <w:rsid w:val="00040F06"/>
    <w:rsid w:val="00062C64"/>
    <w:rsid w:val="0006391E"/>
    <w:rsid w:val="00076ED2"/>
    <w:rsid w:val="000A6C85"/>
    <w:rsid w:val="000E0E07"/>
    <w:rsid w:val="000F56DA"/>
    <w:rsid w:val="000F6F1A"/>
    <w:rsid w:val="00121D98"/>
    <w:rsid w:val="00146258"/>
    <w:rsid w:val="0015166E"/>
    <w:rsid w:val="001518E3"/>
    <w:rsid w:val="0015312C"/>
    <w:rsid w:val="00181453"/>
    <w:rsid w:val="00183D75"/>
    <w:rsid w:val="00197639"/>
    <w:rsid w:val="001A615E"/>
    <w:rsid w:val="001B43D3"/>
    <w:rsid w:val="001C1364"/>
    <w:rsid w:val="001C3A1C"/>
    <w:rsid w:val="001D4791"/>
    <w:rsid w:val="001E7132"/>
    <w:rsid w:val="001F11A4"/>
    <w:rsid w:val="001F7792"/>
    <w:rsid w:val="002044C9"/>
    <w:rsid w:val="0022479F"/>
    <w:rsid w:val="002538C7"/>
    <w:rsid w:val="0025437C"/>
    <w:rsid w:val="00261BBB"/>
    <w:rsid w:val="002675B1"/>
    <w:rsid w:val="002878B2"/>
    <w:rsid w:val="0029019D"/>
    <w:rsid w:val="002A1693"/>
    <w:rsid w:val="002A7A1F"/>
    <w:rsid w:val="002B27CD"/>
    <w:rsid w:val="002D0AE9"/>
    <w:rsid w:val="002D5EA8"/>
    <w:rsid w:val="002E4960"/>
    <w:rsid w:val="00300337"/>
    <w:rsid w:val="00303D24"/>
    <w:rsid w:val="00310657"/>
    <w:rsid w:val="00311354"/>
    <w:rsid w:val="00322B52"/>
    <w:rsid w:val="00333B29"/>
    <w:rsid w:val="00340A65"/>
    <w:rsid w:val="00347B8F"/>
    <w:rsid w:val="0037531D"/>
    <w:rsid w:val="00382BD0"/>
    <w:rsid w:val="00385E51"/>
    <w:rsid w:val="00390145"/>
    <w:rsid w:val="003904D7"/>
    <w:rsid w:val="003A1470"/>
    <w:rsid w:val="003B41E1"/>
    <w:rsid w:val="003C2ED2"/>
    <w:rsid w:val="003C4FCB"/>
    <w:rsid w:val="003D2E23"/>
    <w:rsid w:val="003D4668"/>
    <w:rsid w:val="003F448E"/>
    <w:rsid w:val="003F47C8"/>
    <w:rsid w:val="00415C82"/>
    <w:rsid w:val="004312BF"/>
    <w:rsid w:val="0043210C"/>
    <w:rsid w:val="00433170"/>
    <w:rsid w:val="00437ECF"/>
    <w:rsid w:val="00445639"/>
    <w:rsid w:val="00447AFA"/>
    <w:rsid w:val="004547C3"/>
    <w:rsid w:val="00473438"/>
    <w:rsid w:val="004823E2"/>
    <w:rsid w:val="00487A99"/>
    <w:rsid w:val="004B786B"/>
    <w:rsid w:val="004E7DCB"/>
    <w:rsid w:val="004F42CE"/>
    <w:rsid w:val="005043F3"/>
    <w:rsid w:val="005068EE"/>
    <w:rsid w:val="00523363"/>
    <w:rsid w:val="00525B87"/>
    <w:rsid w:val="00537A34"/>
    <w:rsid w:val="00543139"/>
    <w:rsid w:val="00543F68"/>
    <w:rsid w:val="005441BB"/>
    <w:rsid w:val="00550CE4"/>
    <w:rsid w:val="00565A24"/>
    <w:rsid w:val="00590907"/>
    <w:rsid w:val="00590CF8"/>
    <w:rsid w:val="005B7E95"/>
    <w:rsid w:val="005C7CA4"/>
    <w:rsid w:val="005D6CB4"/>
    <w:rsid w:val="00614133"/>
    <w:rsid w:val="00627923"/>
    <w:rsid w:val="006429E5"/>
    <w:rsid w:val="0064605D"/>
    <w:rsid w:val="006679BF"/>
    <w:rsid w:val="00684F82"/>
    <w:rsid w:val="00694E5B"/>
    <w:rsid w:val="006E63EE"/>
    <w:rsid w:val="006F52EE"/>
    <w:rsid w:val="006F551F"/>
    <w:rsid w:val="0071022A"/>
    <w:rsid w:val="007152CF"/>
    <w:rsid w:val="00746352"/>
    <w:rsid w:val="00753A1F"/>
    <w:rsid w:val="00767414"/>
    <w:rsid w:val="00794003"/>
    <w:rsid w:val="007A21B4"/>
    <w:rsid w:val="007A7EB0"/>
    <w:rsid w:val="007B4687"/>
    <w:rsid w:val="007C1237"/>
    <w:rsid w:val="007C62E8"/>
    <w:rsid w:val="007D4029"/>
    <w:rsid w:val="007E24B1"/>
    <w:rsid w:val="00802273"/>
    <w:rsid w:val="00802CF5"/>
    <w:rsid w:val="00814D6B"/>
    <w:rsid w:val="00820214"/>
    <w:rsid w:val="00825549"/>
    <w:rsid w:val="008325A3"/>
    <w:rsid w:val="00891984"/>
    <w:rsid w:val="00894A3B"/>
    <w:rsid w:val="00894DBD"/>
    <w:rsid w:val="008B5F4D"/>
    <w:rsid w:val="008E5FCF"/>
    <w:rsid w:val="008F0353"/>
    <w:rsid w:val="008F241D"/>
    <w:rsid w:val="0090312F"/>
    <w:rsid w:val="00905025"/>
    <w:rsid w:val="00927057"/>
    <w:rsid w:val="00933F58"/>
    <w:rsid w:val="00935FD8"/>
    <w:rsid w:val="00993391"/>
    <w:rsid w:val="00994741"/>
    <w:rsid w:val="009B2387"/>
    <w:rsid w:val="009B51C9"/>
    <w:rsid w:val="009B7221"/>
    <w:rsid w:val="009C51CA"/>
    <w:rsid w:val="009D1689"/>
    <w:rsid w:val="009E409B"/>
    <w:rsid w:val="009E52AC"/>
    <w:rsid w:val="009E60E5"/>
    <w:rsid w:val="00A07134"/>
    <w:rsid w:val="00A26F9B"/>
    <w:rsid w:val="00A3495E"/>
    <w:rsid w:val="00A5295A"/>
    <w:rsid w:val="00A62214"/>
    <w:rsid w:val="00A74EC4"/>
    <w:rsid w:val="00A913D0"/>
    <w:rsid w:val="00AA330A"/>
    <w:rsid w:val="00AB19B5"/>
    <w:rsid w:val="00AB2ACD"/>
    <w:rsid w:val="00AC25B4"/>
    <w:rsid w:val="00AC268E"/>
    <w:rsid w:val="00AC6AF1"/>
    <w:rsid w:val="00B23C5E"/>
    <w:rsid w:val="00B521FE"/>
    <w:rsid w:val="00B54BDF"/>
    <w:rsid w:val="00B57A8A"/>
    <w:rsid w:val="00B6064D"/>
    <w:rsid w:val="00BA3381"/>
    <w:rsid w:val="00BD046D"/>
    <w:rsid w:val="00BD3C85"/>
    <w:rsid w:val="00BD6117"/>
    <w:rsid w:val="00BE5FCF"/>
    <w:rsid w:val="00C106D4"/>
    <w:rsid w:val="00C14EC9"/>
    <w:rsid w:val="00C23872"/>
    <w:rsid w:val="00C31A1A"/>
    <w:rsid w:val="00C37130"/>
    <w:rsid w:val="00C631D3"/>
    <w:rsid w:val="00C77542"/>
    <w:rsid w:val="00C838A7"/>
    <w:rsid w:val="00C87013"/>
    <w:rsid w:val="00CA2380"/>
    <w:rsid w:val="00CA2EFC"/>
    <w:rsid w:val="00CC3241"/>
    <w:rsid w:val="00CF4AA3"/>
    <w:rsid w:val="00D4556D"/>
    <w:rsid w:val="00D57DD9"/>
    <w:rsid w:val="00D80434"/>
    <w:rsid w:val="00D9788E"/>
    <w:rsid w:val="00D97A31"/>
    <w:rsid w:val="00DA6864"/>
    <w:rsid w:val="00DB53DA"/>
    <w:rsid w:val="00DC4CEF"/>
    <w:rsid w:val="00DE6379"/>
    <w:rsid w:val="00E11B3D"/>
    <w:rsid w:val="00E11F94"/>
    <w:rsid w:val="00E17021"/>
    <w:rsid w:val="00E22ECC"/>
    <w:rsid w:val="00E25099"/>
    <w:rsid w:val="00E51843"/>
    <w:rsid w:val="00E55FF9"/>
    <w:rsid w:val="00E57AA3"/>
    <w:rsid w:val="00E6214A"/>
    <w:rsid w:val="00E74B59"/>
    <w:rsid w:val="00E85BDC"/>
    <w:rsid w:val="00E86B9E"/>
    <w:rsid w:val="00EB40C4"/>
    <w:rsid w:val="00EB6142"/>
    <w:rsid w:val="00EB7DE4"/>
    <w:rsid w:val="00EC0880"/>
    <w:rsid w:val="00EC293E"/>
    <w:rsid w:val="00ED6166"/>
    <w:rsid w:val="00EE29A2"/>
    <w:rsid w:val="00EE49D2"/>
    <w:rsid w:val="00EE55EF"/>
    <w:rsid w:val="00EF0C95"/>
    <w:rsid w:val="00EF4154"/>
    <w:rsid w:val="00EF66EA"/>
    <w:rsid w:val="00F013FE"/>
    <w:rsid w:val="00F069A0"/>
    <w:rsid w:val="00F144C8"/>
    <w:rsid w:val="00F31686"/>
    <w:rsid w:val="00F35075"/>
    <w:rsid w:val="00F46C90"/>
    <w:rsid w:val="00F6428C"/>
    <w:rsid w:val="00F93B5D"/>
    <w:rsid w:val="00F94483"/>
    <w:rsid w:val="00FC55FA"/>
    <w:rsid w:val="00FE0F05"/>
    <w:rsid w:val="00FE3D22"/>
    <w:rsid w:val="00FE72C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829E0"/>
  <w15:docId w15:val="{6D9E4AA7-2D22-4F11-9BDD-93608C00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
    <w:qFormat/>
    <w:rsid w:val="001518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abealho2">
    <w:name w:val="heading 2"/>
    <w:aliases w:val="Título Artigo"/>
    <w:basedOn w:val="Normal"/>
    <w:next w:val="Normal"/>
    <w:link w:val="Cabealho2Carter"/>
    <w:uiPriority w:val="9"/>
    <w:unhideWhenUsed/>
    <w:qFormat/>
    <w:rsid w:val="00AC25B4"/>
    <w:pPr>
      <w:spacing w:after="0" w:line="360" w:lineRule="auto"/>
      <w:jc w:val="both"/>
      <w:outlineLvl w:val="1"/>
    </w:pPr>
    <w:rPr>
      <w:rFonts w:eastAsiaTheme="majorEastAsia" w:cstheme="majorBidi"/>
      <w:b/>
      <w:bCs/>
      <w:sz w:val="20"/>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3C4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429E5"/>
    <w:pPr>
      <w:ind w:left="720"/>
      <w:contextualSpacing/>
    </w:pPr>
  </w:style>
  <w:style w:type="character" w:customStyle="1" w:styleId="Cabealho1Carter">
    <w:name w:val="Cabeçalho 1 Caráter"/>
    <w:basedOn w:val="Tipodeletrapredefinidodopargrafo"/>
    <w:link w:val="Cabealho1"/>
    <w:uiPriority w:val="9"/>
    <w:rsid w:val="001518E3"/>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arter"/>
    <w:uiPriority w:val="99"/>
    <w:semiHidden/>
    <w:unhideWhenUsed/>
    <w:rsid w:val="00AB19B5"/>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AB19B5"/>
    <w:rPr>
      <w:rFonts w:ascii="Tahoma" w:hAnsi="Tahoma" w:cs="Tahoma"/>
      <w:sz w:val="16"/>
      <w:szCs w:val="16"/>
    </w:rPr>
  </w:style>
  <w:style w:type="paragraph" w:styleId="Cabealho">
    <w:name w:val="header"/>
    <w:basedOn w:val="Normal"/>
    <w:link w:val="CabealhoCarter"/>
    <w:uiPriority w:val="99"/>
    <w:unhideWhenUsed/>
    <w:rsid w:val="0043317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33170"/>
  </w:style>
  <w:style w:type="paragraph" w:styleId="Rodap">
    <w:name w:val="footer"/>
    <w:basedOn w:val="Normal"/>
    <w:link w:val="RodapCarter"/>
    <w:uiPriority w:val="99"/>
    <w:unhideWhenUsed/>
    <w:rsid w:val="0043317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33170"/>
  </w:style>
  <w:style w:type="paragraph" w:styleId="SemEspaamento">
    <w:name w:val="No Spacing"/>
    <w:link w:val="SemEspaamentoCarter"/>
    <w:uiPriority w:val="1"/>
    <w:qFormat/>
    <w:rsid w:val="00933F58"/>
    <w:pPr>
      <w:spacing w:after="0" w:line="240" w:lineRule="auto"/>
    </w:pPr>
  </w:style>
  <w:style w:type="character" w:styleId="Refdecomentrio">
    <w:name w:val="annotation reference"/>
    <w:basedOn w:val="Tipodeletrapredefinidodopargrafo"/>
    <w:uiPriority w:val="99"/>
    <w:semiHidden/>
    <w:unhideWhenUsed/>
    <w:rsid w:val="004E7DCB"/>
    <w:rPr>
      <w:sz w:val="16"/>
      <w:szCs w:val="16"/>
    </w:rPr>
  </w:style>
  <w:style w:type="paragraph" w:styleId="Textodecomentrio">
    <w:name w:val="annotation text"/>
    <w:basedOn w:val="Normal"/>
    <w:link w:val="TextodecomentrioCarter"/>
    <w:uiPriority w:val="99"/>
    <w:semiHidden/>
    <w:unhideWhenUsed/>
    <w:rsid w:val="004E7DCB"/>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4E7DCB"/>
    <w:rPr>
      <w:sz w:val="20"/>
      <w:szCs w:val="20"/>
    </w:rPr>
  </w:style>
  <w:style w:type="paragraph" w:styleId="Assuntodecomentrio">
    <w:name w:val="annotation subject"/>
    <w:basedOn w:val="Textodecomentrio"/>
    <w:next w:val="Textodecomentrio"/>
    <w:link w:val="AssuntodecomentrioCarter"/>
    <w:uiPriority w:val="99"/>
    <w:semiHidden/>
    <w:unhideWhenUsed/>
    <w:rsid w:val="004E7DCB"/>
    <w:rPr>
      <w:b/>
      <w:bCs/>
    </w:rPr>
  </w:style>
  <w:style w:type="character" w:customStyle="1" w:styleId="AssuntodecomentrioCarter">
    <w:name w:val="Assunto de comentário Caráter"/>
    <w:basedOn w:val="TextodecomentrioCarter"/>
    <w:link w:val="Assuntodecomentrio"/>
    <w:uiPriority w:val="99"/>
    <w:semiHidden/>
    <w:rsid w:val="004E7DCB"/>
    <w:rPr>
      <w:b/>
      <w:bCs/>
      <w:sz w:val="20"/>
      <w:szCs w:val="20"/>
    </w:rPr>
  </w:style>
  <w:style w:type="character" w:customStyle="1" w:styleId="Cabealho2Carter">
    <w:name w:val="Cabeçalho 2 Caráter"/>
    <w:aliases w:val="Título Artigo Caráter"/>
    <w:basedOn w:val="Tipodeletrapredefinidodopargrafo"/>
    <w:link w:val="Cabealho2"/>
    <w:uiPriority w:val="9"/>
    <w:rsid w:val="00AC25B4"/>
    <w:rPr>
      <w:rFonts w:eastAsiaTheme="majorEastAsia" w:cstheme="majorBidi"/>
      <w:b/>
      <w:bCs/>
      <w:sz w:val="20"/>
      <w:szCs w:val="26"/>
    </w:rPr>
  </w:style>
  <w:style w:type="paragraph" w:styleId="Ttulo">
    <w:name w:val="Title"/>
    <w:aliases w:val="Título Capítulo"/>
    <w:basedOn w:val="Normal"/>
    <w:next w:val="Normal"/>
    <w:link w:val="TtuloCarter"/>
    <w:uiPriority w:val="10"/>
    <w:qFormat/>
    <w:rsid w:val="00A3495E"/>
    <w:pPr>
      <w:numPr>
        <w:numId w:val="2"/>
      </w:numPr>
      <w:spacing w:after="0" w:line="360" w:lineRule="auto"/>
      <w:contextualSpacing/>
      <w:jc w:val="both"/>
    </w:pPr>
    <w:rPr>
      <w:rFonts w:eastAsiaTheme="majorEastAsia" w:cstheme="majorBidi"/>
      <w:b/>
      <w:spacing w:val="5"/>
      <w:kern w:val="28"/>
      <w:sz w:val="20"/>
      <w:szCs w:val="52"/>
    </w:rPr>
  </w:style>
  <w:style w:type="character" w:customStyle="1" w:styleId="TtuloCarter">
    <w:name w:val="Título Caráter"/>
    <w:aliases w:val="Título Capítulo Caráter"/>
    <w:basedOn w:val="Tipodeletrapredefinidodopargrafo"/>
    <w:link w:val="Ttulo"/>
    <w:uiPriority w:val="10"/>
    <w:rsid w:val="00A3495E"/>
    <w:rPr>
      <w:rFonts w:eastAsiaTheme="majorEastAsia" w:cstheme="majorBidi"/>
      <w:b/>
      <w:spacing w:val="5"/>
      <w:kern w:val="28"/>
      <w:sz w:val="20"/>
      <w:szCs w:val="52"/>
    </w:rPr>
  </w:style>
  <w:style w:type="paragraph" w:customStyle="1" w:styleId="Tabelas">
    <w:name w:val="Tabelas"/>
    <w:basedOn w:val="Subttulo"/>
    <w:link w:val="TabelasCarcter"/>
    <w:rsid w:val="00E17021"/>
    <w:pPr>
      <w:numPr>
        <w:ilvl w:val="0"/>
      </w:numPr>
      <w:tabs>
        <w:tab w:val="left" w:pos="0"/>
        <w:tab w:val="left" w:pos="2127"/>
        <w:tab w:val="left" w:pos="2268"/>
        <w:tab w:val="left" w:pos="2410"/>
      </w:tabs>
      <w:spacing w:before="120" w:after="320"/>
      <w:outlineLvl w:val="2"/>
    </w:pPr>
    <w:rPr>
      <w:rFonts w:ascii="Trebuchet MS" w:eastAsiaTheme="majorEastAsia" w:hAnsi="Trebuchet MS" w:cstheme="majorBidi"/>
      <w:b/>
      <w:iCs/>
      <w:color w:val="17365D" w:themeColor="text2" w:themeShade="BF"/>
      <w:sz w:val="20"/>
      <w:szCs w:val="24"/>
      <w:lang w:eastAsia="pt-PT"/>
    </w:rPr>
  </w:style>
  <w:style w:type="character" w:customStyle="1" w:styleId="TabelasCarcter">
    <w:name w:val="Tabelas Carácter"/>
    <w:basedOn w:val="SubttuloCarter"/>
    <w:link w:val="Tabelas"/>
    <w:rsid w:val="00E17021"/>
    <w:rPr>
      <w:rFonts w:ascii="Trebuchet MS" w:eastAsiaTheme="majorEastAsia" w:hAnsi="Trebuchet MS" w:cstheme="majorBidi"/>
      <w:b/>
      <w:iCs/>
      <w:color w:val="17365D" w:themeColor="text2" w:themeShade="BF"/>
      <w:spacing w:val="15"/>
      <w:sz w:val="20"/>
      <w:szCs w:val="24"/>
      <w:lang w:eastAsia="pt-PT"/>
    </w:rPr>
  </w:style>
  <w:style w:type="paragraph" w:customStyle="1" w:styleId="Nivel4-Cap">
    <w:name w:val="Nivel 4 - Cap"/>
    <w:basedOn w:val="Normal"/>
    <w:link w:val="Nivel4-CapCarcter"/>
    <w:rsid w:val="00E17021"/>
    <w:pPr>
      <w:tabs>
        <w:tab w:val="left" w:pos="4740"/>
      </w:tabs>
      <w:spacing w:after="0" w:line="360" w:lineRule="auto"/>
    </w:pPr>
    <w:rPr>
      <w:rFonts w:ascii="Trebuchet MS" w:eastAsiaTheme="minorEastAsia" w:hAnsi="Trebuchet MS" w:cs="AdvTT5843c571"/>
      <w:b/>
      <w:i/>
      <w:sz w:val="24"/>
      <w:szCs w:val="21"/>
      <w:lang w:eastAsia="pt-PT"/>
    </w:rPr>
  </w:style>
  <w:style w:type="character" w:customStyle="1" w:styleId="Nivel4-CapCarcter">
    <w:name w:val="Nivel 4 - Cap Carácter"/>
    <w:basedOn w:val="Tipodeletrapredefinidodopargrafo"/>
    <w:link w:val="Nivel4-Cap"/>
    <w:rsid w:val="00E17021"/>
    <w:rPr>
      <w:rFonts w:ascii="Trebuchet MS" w:eastAsiaTheme="minorEastAsia" w:hAnsi="Trebuchet MS" w:cs="AdvTT5843c571"/>
      <w:b/>
      <w:i/>
      <w:sz w:val="24"/>
      <w:szCs w:val="21"/>
      <w:lang w:eastAsia="pt-PT"/>
    </w:rPr>
  </w:style>
  <w:style w:type="table" w:customStyle="1" w:styleId="TabelaSimples11">
    <w:name w:val="Tabela Simples 11"/>
    <w:basedOn w:val="Tabelanormal"/>
    <w:uiPriority w:val="41"/>
    <w:rsid w:val="00E17021"/>
    <w:pPr>
      <w:spacing w:after="0" w:line="240" w:lineRule="auto"/>
    </w:pPr>
    <w:rPr>
      <w:rFonts w:eastAsiaTheme="minorEastAsia"/>
      <w:sz w:val="21"/>
      <w:szCs w:val="2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elhaClara1">
    <w:name w:val="Tabela com Grelha Clara1"/>
    <w:basedOn w:val="Tabelanormal"/>
    <w:uiPriority w:val="40"/>
    <w:rsid w:val="00E17021"/>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tulo">
    <w:name w:val="Subtitle"/>
    <w:basedOn w:val="Normal"/>
    <w:next w:val="Normal"/>
    <w:link w:val="SubttuloCarter"/>
    <w:uiPriority w:val="11"/>
    <w:qFormat/>
    <w:rsid w:val="00E17021"/>
    <w:pPr>
      <w:numPr>
        <w:ilvl w:val="1"/>
      </w:numPr>
      <w:spacing w:after="160"/>
    </w:pPr>
    <w:rPr>
      <w:rFonts w:eastAsiaTheme="minorEastAsia"/>
      <w:color w:val="5A5A5A" w:themeColor="text1" w:themeTint="A5"/>
      <w:spacing w:val="15"/>
    </w:rPr>
  </w:style>
  <w:style w:type="character" w:customStyle="1" w:styleId="SubttuloCarter">
    <w:name w:val="Subtítulo Caráter"/>
    <w:basedOn w:val="Tipodeletrapredefinidodopargrafo"/>
    <w:link w:val="Subttulo"/>
    <w:uiPriority w:val="11"/>
    <w:rsid w:val="00E17021"/>
    <w:rPr>
      <w:rFonts w:eastAsiaTheme="minorEastAsia"/>
      <w:color w:val="5A5A5A" w:themeColor="text1" w:themeTint="A5"/>
      <w:spacing w:val="15"/>
    </w:rPr>
  </w:style>
  <w:style w:type="character" w:styleId="Hiperligao">
    <w:name w:val="Hyperlink"/>
    <w:basedOn w:val="Tipodeletrapredefinidodopargrafo"/>
    <w:uiPriority w:val="99"/>
    <w:unhideWhenUsed/>
    <w:rsid w:val="00E17021"/>
    <w:rPr>
      <w:color w:val="0000FF" w:themeColor="hyperlink"/>
      <w:u w:val="single"/>
    </w:rPr>
  </w:style>
  <w:style w:type="character" w:customStyle="1" w:styleId="Mention">
    <w:name w:val="Mention"/>
    <w:basedOn w:val="Tipodeletrapredefinidodopargrafo"/>
    <w:uiPriority w:val="99"/>
    <w:semiHidden/>
    <w:unhideWhenUsed/>
    <w:rsid w:val="00CA2380"/>
    <w:rPr>
      <w:color w:val="2B579A"/>
      <w:shd w:val="clear" w:color="auto" w:fill="E6E6E6"/>
    </w:rPr>
  </w:style>
  <w:style w:type="paragraph" w:customStyle="1" w:styleId="Nivel1-Cap">
    <w:name w:val="Nivel 1 - Cap"/>
    <w:basedOn w:val="Cabealho1"/>
    <w:link w:val="Nivel1-CapCarcter"/>
    <w:autoRedefine/>
    <w:qFormat/>
    <w:rsid w:val="00D80434"/>
    <w:pPr>
      <w:spacing w:after="480" w:line="360" w:lineRule="auto"/>
      <w:jc w:val="center"/>
    </w:pPr>
    <w:rPr>
      <w:rFonts w:ascii="Trebuchet MS" w:hAnsi="Trebuchet MS"/>
      <w:caps/>
      <w:szCs w:val="22"/>
      <w:lang w:eastAsia="pt-PT"/>
    </w:rPr>
  </w:style>
  <w:style w:type="character" w:customStyle="1" w:styleId="Nivel1-CapCarcter">
    <w:name w:val="Nivel 1 - Cap Carácter"/>
    <w:basedOn w:val="Tipodeletrapredefinidodopargrafo"/>
    <w:link w:val="Nivel1-Cap"/>
    <w:rsid w:val="00D80434"/>
    <w:rPr>
      <w:rFonts w:ascii="Trebuchet MS" w:eastAsiaTheme="majorEastAsia" w:hAnsi="Trebuchet MS" w:cstheme="majorBidi"/>
      <w:b/>
      <w:bCs/>
      <w:caps/>
      <w:color w:val="365F91" w:themeColor="accent1" w:themeShade="BF"/>
      <w:sz w:val="28"/>
      <w:lang w:eastAsia="pt-PT"/>
    </w:rPr>
  </w:style>
  <w:style w:type="character" w:customStyle="1" w:styleId="SemEspaamentoCarter">
    <w:name w:val="Sem Espaçamento Caráter"/>
    <w:basedOn w:val="Tipodeletrapredefinidodopargrafo"/>
    <w:link w:val="SemEspaamento"/>
    <w:uiPriority w:val="1"/>
    <w:rsid w:val="00D8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34122">
      <w:bodyDiv w:val="1"/>
      <w:marLeft w:val="0"/>
      <w:marRight w:val="0"/>
      <w:marTop w:val="0"/>
      <w:marBottom w:val="0"/>
      <w:divBdr>
        <w:top w:val="none" w:sz="0" w:space="0" w:color="auto"/>
        <w:left w:val="none" w:sz="0" w:space="0" w:color="auto"/>
        <w:bottom w:val="none" w:sz="0" w:space="0" w:color="auto"/>
        <w:right w:val="none" w:sz="0" w:space="0" w:color="auto"/>
      </w:divBdr>
    </w:div>
    <w:div w:id="77328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dt.pt/PT/RevistaToxicodependencias/Paginas/Tema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e.pt/xportal/xmain?xpid=INE&amp;xpgid=ine_base_dad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ic.edu/orgs/ql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ic.edu/orgs/qli/" TargetMode="External"/><Relationship Id="rId14" Type="http://schemas.openxmlformats.org/officeDocument/2006/relationships/hyperlink" Target="http://www.elsevier.com/locate/drugalcde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211E-55F9-4272-952D-9FDA5D3A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14</Pages>
  <Words>5551</Words>
  <Characters>29980</Characters>
  <Application>Microsoft Office Word</Application>
  <DocSecurity>0</DocSecurity>
  <Lines>249</Lines>
  <Paragraphs>70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António Leal</dc:creator>
  <cp:lastModifiedBy>70 - Célia Santos</cp:lastModifiedBy>
  <cp:revision>48</cp:revision>
  <cp:lastPrinted>2016-12-09T18:21:00Z</cp:lastPrinted>
  <dcterms:created xsi:type="dcterms:W3CDTF">2017-06-08T09:55:00Z</dcterms:created>
  <dcterms:modified xsi:type="dcterms:W3CDTF">2017-06-14T10:44:00Z</dcterms:modified>
</cp:coreProperties>
</file>