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BAA2" w14:textId="35926644" w:rsidR="003F29B1" w:rsidRPr="00734F25" w:rsidRDefault="003F29B1" w:rsidP="003F29B1">
      <w:pPr>
        <w:snapToGrid w:val="0"/>
        <w:spacing w:line="360" w:lineRule="auto"/>
        <w:rPr>
          <w:rFonts w:ascii="Times New Roman" w:hAnsi="Times New Roman"/>
          <w:lang w:val="en-US"/>
        </w:rPr>
      </w:pPr>
      <w:bookmarkStart w:id="0" w:name="_Hlk193203180"/>
      <w:r w:rsidRPr="00734F25">
        <w:rPr>
          <w:rFonts w:ascii="Times New Roman" w:hAnsi="Times New Roman"/>
          <w:lang w:val="en-US"/>
        </w:rPr>
        <w:t>https://doi.org/10.6063/motricidade.3178</w:t>
      </w:r>
      <w:r>
        <w:rPr>
          <w:rFonts w:ascii="Times New Roman" w:hAnsi="Times New Roman"/>
          <w:lang w:val="en-US"/>
        </w:rPr>
        <w:t>5</w:t>
      </w:r>
    </w:p>
    <w:p w14:paraId="1992B76A" w14:textId="77777777" w:rsidR="003F29B1" w:rsidRPr="00C80F0F" w:rsidRDefault="003F29B1" w:rsidP="003F29B1">
      <w:pPr>
        <w:spacing w:line="480" w:lineRule="auto"/>
        <w:rPr>
          <w:rFonts w:ascii="Times New Roman" w:hAnsi="Times New Roman"/>
          <w:b/>
          <w:lang w:val="en-GB"/>
        </w:rPr>
      </w:pPr>
      <w:r w:rsidRPr="00C80F0F">
        <w:rPr>
          <w:rFonts w:ascii="Times New Roman" w:hAnsi="Times New Roman"/>
          <w:b/>
          <w:lang w:val="en-GB"/>
        </w:rPr>
        <w:t>Abstract</w:t>
      </w:r>
    </w:p>
    <w:p w14:paraId="2C9319D4" w14:textId="77777777" w:rsidR="003F29B1" w:rsidRPr="001C665C" w:rsidRDefault="003F29B1" w:rsidP="003F29B1">
      <w:pPr>
        <w:spacing w:line="360" w:lineRule="auto"/>
        <w:jc w:val="both"/>
        <w:rPr>
          <w:rFonts w:asciiTheme="majorBidi" w:hAnsiTheme="majorBidi" w:cstheme="majorBidi"/>
          <w:lang w:val="en-GB"/>
        </w:rPr>
      </w:pPr>
    </w:p>
    <w:p w14:paraId="35F19F91" w14:textId="381ED9DD" w:rsidR="003F29B1" w:rsidRPr="00B20CF4" w:rsidRDefault="003F29B1" w:rsidP="003F29B1">
      <w:pPr>
        <w:autoSpaceDE w:val="0"/>
        <w:autoSpaceDN w:val="0"/>
        <w:adjustRightInd w:val="0"/>
        <w:rPr>
          <w:rFonts w:ascii="Times New Roman" w:hAnsi="Times New Roman"/>
          <w:b/>
        </w:rPr>
      </w:pPr>
      <w:r w:rsidRPr="003F29B1">
        <w:rPr>
          <w:rFonts w:asciiTheme="majorBidi" w:hAnsiTheme="majorBidi" w:cstheme="majorBidi"/>
          <w:b/>
          <w:bCs/>
          <w:sz w:val="32"/>
          <w:szCs w:val="32"/>
          <w:lang w:val="en-GB"/>
        </w:rPr>
        <w:t>Physical activity and the risk of osteoporosis</w:t>
      </w:r>
    </w:p>
    <w:p w14:paraId="554FBDD5" w14:textId="77777777" w:rsidR="003F29B1" w:rsidRPr="001C665C" w:rsidRDefault="003F29B1" w:rsidP="003F29B1">
      <w:pPr>
        <w:spacing w:line="360" w:lineRule="auto"/>
        <w:jc w:val="both"/>
        <w:rPr>
          <w:rFonts w:asciiTheme="majorBidi" w:hAnsiTheme="majorBidi" w:cstheme="majorBidi"/>
          <w:lang w:val="en-GB"/>
        </w:rPr>
      </w:pPr>
    </w:p>
    <w:p w14:paraId="3A9A87DC" w14:textId="34E42D01" w:rsidR="003F29B1" w:rsidRPr="003F29B1" w:rsidRDefault="003F29B1" w:rsidP="003F29B1">
      <w:pPr>
        <w:pStyle w:val="NormalWeb"/>
        <w:suppressAutoHyphens/>
        <w:spacing w:before="0" w:beforeAutospacing="0" w:after="0" w:afterAutospacing="0" w:line="360" w:lineRule="auto"/>
        <w:jc w:val="both"/>
        <w:rPr>
          <w:bCs/>
          <w:vertAlign w:val="superscript"/>
        </w:rPr>
      </w:pPr>
      <w:bookmarkStart w:id="1" w:name="_Hlk139120923"/>
      <w:r w:rsidRPr="003F29B1">
        <w:rPr>
          <w:bCs/>
        </w:rPr>
        <w:t>Ana Caramelo</w:t>
      </w:r>
      <w:r w:rsidRPr="00112ADF">
        <w:rPr>
          <w:noProof/>
          <w:szCs w:val="20"/>
        </w:rPr>
        <w:drawing>
          <wp:inline distT="0" distB="0" distL="0" distR="0" wp14:anchorId="03BA25E8" wp14:editId="3E3A4790">
            <wp:extent cx="198120" cy="198120"/>
            <wp:effectExtent l="0" t="0" r="0" b="0"/>
            <wp:docPr id="390739222" name="Imagem 3" descr="Uma imagem com desenho&#10;&#10;Descrição gerada automaticamen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39222" name="Imagem 3" descr="Uma imagem com desenho&#10;&#10;Descrição gerada automaticament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F29B1">
        <w:rPr>
          <w:bCs/>
          <w:vertAlign w:val="superscript"/>
        </w:rPr>
        <w:t>1,2,3</w:t>
      </w:r>
      <w:r w:rsidRPr="003F29B1">
        <w:rPr>
          <w:bCs/>
        </w:rPr>
        <w:t>, Maria Póvoa</w:t>
      </w:r>
      <w:r w:rsidR="000119FC">
        <w:rPr>
          <w:bCs/>
          <w:vertAlign w:val="superscript"/>
        </w:rPr>
        <w:t>1</w:t>
      </w:r>
      <w:r w:rsidRPr="003F29B1">
        <w:rPr>
          <w:bCs/>
        </w:rPr>
        <w:t>, Isabel Barroso</w:t>
      </w:r>
      <w:r w:rsidRPr="00112ADF">
        <w:rPr>
          <w:noProof/>
          <w:szCs w:val="20"/>
        </w:rPr>
        <w:drawing>
          <wp:inline distT="0" distB="0" distL="0" distR="0" wp14:anchorId="3C024A00" wp14:editId="5078FAA7">
            <wp:extent cx="198120" cy="198120"/>
            <wp:effectExtent l="0" t="0" r="0" b="0"/>
            <wp:docPr id="47719046" name="Imagem 3" descr="Uma imagem com desenho&#10;&#10;Descrição gerada automaticamen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9046" name="Imagem 3" descr="Uma imagem com desenho&#10;&#10;Descrição gerada automaticamente">
                      <a:hlinkClick r:id="rId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F29B1">
        <w:rPr>
          <w:bCs/>
          <w:vertAlign w:val="superscript"/>
        </w:rPr>
        <w:t>1,2</w:t>
      </w:r>
      <w:r w:rsidRPr="003F29B1">
        <w:rPr>
          <w:bCs/>
        </w:rPr>
        <w:t>, Maria João Monteiro</w:t>
      </w:r>
      <w:r w:rsidRPr="00112ADF">
        <w:rPr>
          <w:noProof/>
          <w:szCs w:val="20"/>
        </w:rPr>
        <w:drawing>
          <wp:inline distT="0" distB="0" distL="0" distR="0" wp14:anchorId="1A6B1271" wp14:editId="5F29B502">
            <wp:extent cx="198120" cy="198120"/>
            <wp:effectExtent l="0" t="0" r="0" b="0"/>
            <wp:docPr id="1844169260" name="Imagem 3" descr="Uma imagem com desenho&#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69260" name="Imagem 3" descr="Uma imagem com desenho&#10;&#10;Descrição gerada automaticamente">
                      <a:hlinkClick r:id="rId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F29B1">
        <w:rPr>
          <w:bCs/>
          <w:vertAlign w:val="superscript"/>
        </w:rPr>
        <w:t>1,2</w:t>
      </w:r>
      <w:r>
        <w:rPr>
          <w:bCs/>
        </w:rPr>
        <w:t>,</w:t>
      </w:r>
      <w:r w:rsidRPr="003F29B1">
        <w:rPr>
          <w:bCs/>
        </w:rPr>
        <w:t xml:space="preserve"> Conceição Rainho</w:t>
      </w:r>
      <w:r w:rsidRPr="00112ADF">
        <w:rPr>
          <w:noProof/>
          <w:szCs w:val="20"/>
        </w:rPr>
        <w:drawing>
          <wp:inline distT="0" distB="0" distL="0" distR="0" wp14:anchorId="37E997F2" wp14:editId="75892ECD">
            <wp:extent cx="198120" cy="198120"/>
            <wp:effectExtent l="0" t="0" r="0" b="0"/>
            <wp:docPr id="1128405940" name="Imagem 3" descr="Uma imagem com desenho&#10;&#10;Descrição gerada automa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05940" name="Imagem 3" descr="Uma imagem com desenho&#10;&#10;Descrição gerada automaticamente">
                      <a:hlinkClick r:id="rId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F29B1">
        <w:rPr>
          <w:bCs/>
          <w:vertAlign w:val="superscript"/>
        </w:rPr>
        <w:t>1,2</w:t>
      </w:r>
    </w:p>
    <w:bookmarkEnd w:id="1"/>
    <w:p w14:paraId="7BDDD5F8" w14:textId="77777777" w:rsidR="003F29B1" w:rsidRPr="001C665C" w:rsidRDefault="003F29B1" w:rsidP="003F29B1">
      <w:pPr>
        <w:spacing w:line="360" w:lineRule="auto"/>
        <w:jc w:val="both"/>
        <w:rPr>
          <w:rFonts w:asciiTheme="majorBidi" w:hAnsiTheme="majorBidi" w:cstheme="majorBidi"/>
          <w:lang w:val="en-GB"/>
        </w:rPr>
      </w:pPr>
    </w:p>
    <w:p w14:paraId="7BC6C8D6" w14:textId="15661F83" w:rsidR="003F29B1" w:rsidRPr="003F29B1" w:rsidRDefault="000119FC" w:rsidP="003F29B1">
      <w:pPr>
        <w:spacing w:line="276" w:lineRule="auto"/>
        <w:ind w:left="284"/>
        <w:contextualSpacing/>
        <w:jc w:val="both"/>
        <w:rPr>
          <w:rFonts w:asciiTheme="majorBidi" w:hAnsiTheme="majorBidi" w:cstheme="majorBidi"/>
          <w:color w:val="000000"/>
          <w:sz w:val="22"/>
          <w:szCs w:val="22"/>
          <w:vertAlign w:val="superscript"/>
          <w:lang w:val="en-GB"/>
        </w:rPr>
      </w:pPr>
      <w:bookmarkStart w:id="2" w:name="_Hlk139119143"/>
      <w:r>
        <w:rPr>
          <w:rFonts w:asciiTheme="majorBidi" w:hAnsiTheme="majorBidi" w:cstheme="majorBidi"/>
          <w:color w:val="000000"/>
          <w:sz w:val="22"/>
          <w:szCs w:val="22"/>
          <w:vertAlign w:val="superscript"/>
          <w:lang w:val="en-GB"/>
        </w:rPr>
        <w:t>1</w:t>
      </w:r>
      <w:r w:rsidR="003F29B1">
        <w:rPr>
          <w:rFonts w:asciiTheme="majorBidi" w:hAnsiTheme="majorBidi" w:cstheme="majorBidi"/>
          <w:color w:val="000000"/>
          <w:sz w:val="22"/>
          <w:szCs w:val="22"/>
          <w:vertAlign w:val="superscript"/>
          <w:lang w:val="en-GB"/>
        </w:rPr>
        <w:t xml:space="preserve"> </w:t>
      </w:r>
      <w:r w:rsidR="003F29B1" w:rsidRPr="003F29B1">
        <w:rPr>
          <w:rFonts w:asciiTheme="majorBidi" w:hAnsiTheme="majorBidi" w:cstheme="majorBidi"/>
          <w:color w:val="000000"/>
          <w:sz w:val="22"/>
          <w:szCs w:val="22"/>
          <w:lang w:val="en-GB"/>
        </w:rPr>
        <w:t xml:space="preserve">School of Health, University </w:t>
      </w:r>
      <w:proofErr w:type="spellStart"/>
      <w:r w:rsidR="003F29B1" w:rsidRPr="003F29B1">
        <w:rPr>
          <w:rFonts w:asciiTheme="majorBidi" w:hAnsiTheme="majorBidi" w:cstheme="majorBidi"/>
          <w:color w:val="000000"/>
          <w:sz w:val="22"/>
          <w:szCs w:val="22"/>
          <w:lang w:val="en-GB"/>
        </w:rPr>
        <w:t>of</w:t>
      </w:r>
      <w:proofErr w:type="spellEnd"/>
      <w:r w:rsidR="003F29B1" w:rsidRPr="003F29B1">
        <w:rPr>
          <w:rFonts w:asciiTheme="majorBidi" w:hAnsiTheme="majorBidi" w:cstheme="majorBidi"/>
          <w:color w:val="000000"/>
          <w:sz w:val="22"/>
          <w:szCs w:val="22"/>
          <w:lang w:val="en-GB"/>
        </w:rPr>
        <w:t xml:space="preserve"> Trás-os-Montes e Alto Douro, Vila Real, Portugal</w:t>
      </w:r>
      <w:r w:rsidR="003F29B1" w:rsidRPr="003F29B1">
        <w:rPr>
          <w:rFonts w:asciiTheme="majorBidi" w:hAnsiTheme="majorBidi" w:cstheme="majorBidi"/>
          <w:color w:val="000000"/>
          <w:sz w:val="22"/>
          <w:szCs w:val="22"/>
          <w:vertAlign w:val="superscript"/>
          <w:lang w:val="en-GB"/>
        </w:rPr>
        <w:t xml:space="preserve"> </w:t>
      </w:r>
      <w:bookmarkEnd w:id="2"/>
    </w:p>
    <w:p w14:paraId="1413C171" w14:textId="173B21CE" w:rsidR="003F29B1" w:rsidRPr="003F29B1" w:rsidRDefault="000119FC" w:rsidP="003F29B1">
      <w:pPr>
        <w:spacing w:line="276" w:lineRule="auto"/>
        <w:ind w:left="284"/>
        <w:contextualSpacing/>
        <w:jc w:val="both"/>
        <w:rPr>
          <w:rFonts w:asciiTheme="majorBidi" w:hAnsiTheme="majorBidi" w:cstheme="majorBidi"/>
          <w:color w:val="000000"/>
          <w:sz w:val="22"/>
          <w:szCs w:val="22"/>
          <w:vertAlign w:val="superscript"/>
          <w:lang w:val="en-GB"/>
        </w:rPr>
      </w:pPr>
      <w:bookmarkStart w:id="3" w:name="_Hlk139119154"/>
      <w:r>
        <w:rPr>
          <w:rFonts w:asciiTheme="majorBidi" w:hAnsiTheme="majorBidi" w:cstheme="majorBidi"/>
          <w:color w:val="000000"/>
          <w:sz w:val="22"/>
          <w:szCs w:val="22"/>
          <w:vertAlign w:val="superscript"/>
          <w:lang w:val="en-GB"/>
        </w:rPr>
        <w:t>2</w:t>
      </w:r>
      <w:r w:rsidR="003F29B1">
        <w:rPr>
          <w:rFonts w:asciiTheme="majorBidi" w:hAnsiTheme="majorBidi" w:cstheme="majorBidi"/>
          <w:color w:val="000000"/>
          <w:sz w:val="22"/>
          <w:szCs w:val="22"/>
          <w:vertAlign w:val="superscript"/>
          <w:lang w:val="en-GB"/>
        </w:rPr>
        <w:t xml:space="preserve"> </w:t>
      </w:r>
      <w:r w:rsidR="003F29B1" w:rsidRPr="003F29B1">
        <w:rPr>
          <w:rFonts w:asciiTheme="majorBidi" w:hAnsiTheme="majorBidi" w:cstheme="majorBidi"/>
          <w:color w:val="000000"/>
          <w:sz w:val="22"/>
          <w:szCs w:val="22"/>
          <w:lang w:val="en-GB"/>
        </w:rPr>
        <w:t xml:space="preserve">Clinical Academic </w:t>
      </w:r>
      <w:proofErr w:type="spellStart"/>
      <w:r w:rsidR="003F29B1" w:rsidRPr="003F29B1">
        <w:rPr>
          <w:rFonts w:asciiTheme="majorBidi" w:hAnsiTheme="majorBidi" w:cstheme="majorBidi"/>
          <w:color w:val="000000"/>
          <w:sz w:val="22"/>
          <w:szCs w:val="22"/>
          <w:lang w:val="en-GB"/>
        </w:rPr>
        <w:t>Center</w:t>
      </w:r>
      <w:proofErr w:type="spellEnd"/>
      <w:r w:rsidR="003F29B1" w:rsidRPr="003F29B1">
        <w:rPr>
          <w:rFonts w:asciiTheme="majorBidi" w:hAnsiTheme="majorBidi" w:cstheme="majorBidi"/>
          <w:color w:val="000000"/>
          <w:sz w:val="22"/>
          <w:szCs w:val="22"/>
          <w:lang w:val="en-GB"/>
        </w:rPr>
        <w:t xml:space="preserve"> of Trás-os-Montes e Alto Douro-Professor Doutor Nuno Grande – CACTMAD, Vila Real, Portugal</w:t>
      </w:r>
      <w:bookmarkEnd w:id="3"/>
    </w:p>
    <w:p w14:paraId="6914A764" w14:textId="77777777" w:rsidR="003F29B1" w:rsidRPr="001C665C" w:rsidRDefault="003F29B1" w:rsidP="003F29B1">
      <w:pPr>
        <w:spacing w:line="360" w:lineRule="auto"/>
        <w:jc w:val="both"/>
        <w:rPr>
          <w:rFonts w:asciiTheme="majorBidi" w:hAnsiTheme="majorBidi" w:cstheme="majorBidi"/>
          <w:lang w:val="en-GB"/>
        </w:rPr>
      </w:pPr>
    </w:p>
    <w:p w14:paraId="58669732" w14:textId="70158034" w:rsidR="003F29B1" w:rsidRPr="004014C0" w:rsidRDefault="003F29B1" w:rsidP="003F29B1">
      <w:pPr>
        <w:snapToGrid w:val="0"/>
        <w:spacing w:line="480" w:lineRule="auto"/>
        <w:jc w:val="both"/>
        <w:rPr>
          <w:rFonts w:ascii="Times New Roman" w:hAnsi="Times New Roman"/>
          <w:bCs/>
          <w:color w:val="000000"/>
          <w:lang w:val="en-GB"/>
        </w:rPr>
      </w:pPr>
      <w:r w:rsidRPr="004014C0">
        <w:rPr>
          <w:rFonts w:ascii="Times New Roman" w:hAnsi="Times New Roman"/>
          <w:bCs/>
          <w:lang w:val="en-GB"/>
        </w:rPr>
        <w:t xml:space="preserve">*E-mail: </w:t>
      </w:r>
      <w:r w:rsidRPr="003F29B1">
        <w:rPr>
          <w:rFonts w:ascii="Times New Roman" w:hAnsi="Times New Roman"/>
          <w:bCs/>
          <w:color w:val="000000"/>
        </w:rPr>
        <w:t>caramelo.ana@utad.pt</w:t>
      </w:r>
    </w:p>
    <w:p w14:paraId="72C33A45" w14:textId="77777777" w:rsidR="003F29B1" w:rsidRPr="001C665C" w:rsidRDefault="003F29B1" w:rsidP="003F29B1">
      <w:pPr>
        <w:spacing w:line="360" w:lineRule="auto"/>
        <w:jc w:val="both"/>
        <w:rPr>
          <w:rFonts w:asciiTheme="majorBidi" w:hAnsiTheme="majorBidi" w:cstheme="majorBidi"/>
          <w:lang w:val="en-GB"/>
        </w:rPr>
      </w:pPr>
    </w:p>
    <w:p w14:paraId="469F527E" w14:textId="77777777" w:rsidR="003F29B1" w:rsidRPr="004014C0" w:rsidRDefault="003F29B1" w:rsidP="003F29B1">
      <w:pPr>
        <w:snapToGrid w:val="0"/>
        <w:spacing w:line="480" w:lineRule="auto"/>
        <w:rPr>
          <w:rFonts w:ascii="Times New Roman" w:eastAsia="Arial" w:hAnsi="Times New Roman"/>
          <w:color w:val="000000"/>
          <w:lang w:val="en-GB"/>
        </w:rPr>
      </w:pPr>
      <w:r w:rsidRPr="00053835">
        <w:rPr>
          <w:rFonts w:ascii="Times New Roman" w:eastAsia="Arial" w:hAnsi="Times New Roman"/>
          <w:b/>
          <w:bCs/>
          <w:color w:val="000000"/>
          <w:lang w:val="en-US"/>
        </w:rPr>
        <w:t>Conflict of interest:</w:t>
      </w:r>
      <w:r w:rsidRPr="00053835">
        <w:rPr>
          <w:rFonts w:ascii="Times New Roman" w:eastAsia="Arial" w:hAnsi="Times New Roman"/>
          <w:color w:val="000000"/>
          <w:lang w:val="en-US"/>
        </w:rPr>
        <w:t xml:space="preserve"> </w:t>
      </w:r>
      <w:r>
        <w:rPr>
          <w:rFonts w:ascii="Times New Roman" w:eastAsia="Arial" w:hAnsi="Times New Roman"/>
          <w:color w:val="000000"/>
          <w:lang w:val="en-US"/>
        </w:rPr>
        <w:t>nothing to declare</w:t>
      </w:r>
      <w:r w:rsidRPr="00053835">
        <w:rPr>
          <w:rFonts w:ascii="Times New Roman" w:eastAsia="Arial" w:hAnsi="Times New Roman"/>
          <w:color w:val="000000"/>
          <w:lang w:val="en-US"/>
        </w:rPr>
        <w:t xml:space="preserve">. </w:t>
      </w:r>
      <w:r w:rsidRPr="004014C0">
        <w:rPr>
          <w:rFonts w:ascii="Times New Roman" w:eastAsia="Arial" w:hAnsi="Times New Roman"/>
          <w:b/>
          <w:bCs/>
          <w:color w:val="000000"/>
          <w:lang w:val="en-GB"/>
        </w:rPr>
        <w:t>Funding:</w:t>
      </w:r>
      <w:r w:rsidRPr="004014C0">
        <w:rPr>
          <w:rFonts w:ascii="Times New Roman" w:eastAsia="Arial" w:hAnsi="Times New Roman"/>
          <w:color w:val="000000"/>
          <w:lang w:val="en-GB"/>
        </w:rPr>
        <w:t xml:space="preserve"> </w:t>
      </w:r>
      <w:r>
        <w:rPr>
          <w:rFonts w:ascii="Times New Roman" w:eastAsia="Arial" w:hAnsi="Times New Roman"/>
          <w:color w:val="000000"/>
          <w:lang w:val="en-US"/>
        </w:rPr>
        <w:t>nothing to declare</w:t>
      </w:r>
      <w:r w:rsidRPr="00053835">
        <w:rPr>
          <w:rFonts w:ascii="Times New Roman" w:eastAsia="Arial" w:hAnsi="Times New Roman"/>
          <w:color w:val="000000"/>
          <w:lang w:val="en-US"/>
        </w:rPr>
        <w:t>.</w:t>
      </w:r>
    </w:p>
    <w:bookmarkEnd w:id="0"/>
    <w:p w14:paraId="49B69333" w14:textId="77777777" w:rsidR="003F29B1" w:rsidRPr="000119FC" w:rsidRDefault="003F29B1" w:rsidP="000119FC">
      <w:pPr>
        <w:spacing w:line="360" w:lineRule="auto"/>
        <w:jc w:val="both"/>
        <w:rPr>
          <w:rFonts w:asciiTheme="majorBidi" w:hAnsiTheme="majorBidi" w:cstheme="majorBidi"/>
          <w:lang w:val="en-GB"/>
        </w:rPr>
      </w:pPr>
    </w:p>
    <w:p w14:paraId="1E006BF8" w14:textId="30ADC4B5" w:rsidR="00B20CF4" w:rsidRPr="00FB451E" w:rsidRDefault="00B20CF4" w:rsidP="000119FC">
      <w:pPr>
        <w:spacing w:line="360" w:lineRule="auto"/>
        <w:jc w:val="both"/>
        <w:rPr>
          <w:rFonts w:ascii="Times New Roman" w:hAnsi="Times New Roman"/>
        </w:rPr>
      </w:pPr>
      <w:r w:rsidRPr="00B20CF4">
        <w:rPr>
          <w:rFonts w:ascii="Times New Roman" w:hAnsi="Times New Roman"/>
          <w:lang w:val="en-US"/>
        </w:rPr>
        <w:t>The incidence of osteoporosis (OP) in Portugal is 10.2%</w:t>
      </w:r>
      <w:r w:rsidR="00DE2A63">
        <w:rPr>
          <w:rFonts w:ascii="Times New Roman" w:hAnsi="Times New Roman"/>
          <w:lang w:val="en-US"/>
        </w:rPr>
        <w:t>,</w:t>
      </w:r>
      <w:r w:rsidRPr="00B20CF4">
        <w:rPr>
          <w:rFonts w:ascii="Times New Roman" w:hAnsi="Times New Roman"/>
          <w:lang w:val="en-US"/>
        </w:rPr>
        <w:t xml:space="preserve"> a pathological condition in which bone resorption is greater than bone deposition. According to the World Health Organization, there are two types of risk factors associated with OP - the fixed risk factors and the modifiable risk factors, the latter subject to change, among which the practice of physical activity stands out. The aim of this study was to determine the risk of PB and assess the practice of physical activity in teachers and non-teaching staff of educational institutions in a geographical area of influence of a Health Care Cluster in the North of Portugal. </w:t>
      </w:r>
      <w:r w:rsidRPr="00FB451E">
        <w:rPr>
          <w:rFonts w:ascii="Times New Roman" w:hAnsi="Times New Roman"/>
        </w:rPr>
        <w:t xml:space="preserve">This is a quantitative, cross-sectional and descriptive study, which was approved by the Ethics Committee. The "New Rapid OP Risk Test of the IOF" (TRRO-IOF)2 was used. 2 Given the pandemic context </w:t>
      </w:r>
      <w:r w:rsidR="00DE2A63">
        <w:rPr>
          <w:rFonts w:ascii="Times New Roman" w:hAnsi="Times New Roman"/>
        </w:rPr>
        <w:t>of</w:t>
      </w:r>
      <w:r w:rsidRPr="00FB451E">
        <w:rPr>
          <w:rFonts w:ascii="Times New Roman" w:hAnsi="Times New Roman"/>
        </w:rPr>
        <w:t xml:space="preserve"> COVID-19, data collection was carried out electronically. This study included 77 individuals, mostly females (71.4%), with a mean age of 51.6 years. As for the assessment of the risk of PB, the participants reported </w:t>
      </w:r>
      <w:r w:rsidR="00DE2A63">
        <w:rPr>
          <w:rFonts w:ascii="Times New Roman" w:hAnsi="Times New Roman"/>
        </w:rPr>
        <w:t xml:space="preserve">a </w:t>
      </w:r>
      <w:r w:rsidRPr="00FB451E">
        <w:rPr>
          <w:rFonts w:ascii="Times New Roman" w:hAnsi="Times New Roman"/>
        </w:rPr>
        <w:t xml:space="preserve">family history of PB, according to Loures et al. (2017)3 when stating that these are genetic factors that predispose to the disease, femoral neck fracture (26%), due to a fall but without severity, possibly related to low calcium intake5. As for the assessment of physical activity practice, 67.5% of the participants reported it as less than 30 minutes/day, including housework, gardening, walking, running, etc. The European </w:t>
      </w:r>
      <w:r w:rsidRPr="00FB451E">
        <w:rPr>
          <w:rFonts w:ascii="Times New Roman" w:hAnsi="Times New Roman"/>
        </w:rPr>
        <w:lastRenderedPageBreak/>
        <w:t xml:space="preserve">Union establishes </w:t>
      </w:r>
      <w:r w:rsidR="00DE2A63">
        <w:rPr>
          <w:rFonts w:ascii="Times New Roman" w:hAnsi="Times New Roman"/>
        </w:rPr>
        <w:t>30 minutes of physical exercise for adults</w:t>
      </w:r>
      <w:r w:rsidRPr="00FB451E">
        <w:rPr>
          <w:rFonts w:ascii="Times New Roman" w:hAnsi="Times New Roman"/>
        </w:rPr>
        <w:t xml:space="preserve">, but at a moderate intensity five days/week, or 20 minutes at a vigorous intensity three days/week4. There is a consensus in the literature that physical activity has benefits throughout the human life cycle, is a predictor of quality of life, </w:t>
      </w:r>
      <w:r w:rsidR="00DE2A63">
        <w:rPr>
          <w:rFonts w:ascii="Times New Roman" w:hAnsi="Times New Roman"/>
        </w:rPr>
        <w:t>minimises</w:t>
      </w:r>
      <w:r w:rsidRPr="00FB451E">
        <w:rPr>
          <w:rFonts w:ascii="Times New Roman" w:hAnsi="Times New Roman"/>
        </w:rPr>
        <w:t xml:space="preserve"> the risk of PB, prevents falls, and enhances health gains.</w:t>
      </w:r>
    </w:p>
    <w:p w14:paraId="26B08729" w14:textId="77777777" w:rsidR="00DE2A63" w:rsidRDefault="00DE2A63" w:rsidP="000119FC">
      <w:pPr>
        <w:spacing w:line="360" w:lineRule="auto"/>
        <w:jc w:val="both"/>
        <w:rPr>
          <w:rFonts w:ascii="Times New Roman" w:hAnsi="Times New Roman"/>
        </w:rPr>
      </w:pPr>
    </w:p>
    <w:p w14:paraId="5CA6F3C8" w14:textId="156033D1" w:rsidR="00053835" w:rsidRPr="00B20CF4" w:rsidRDefault="00B20CF4" w:rsidP="00B20CF4">
      <w:pPr>
        <w:jc w:val="both"/>
        <w:rPr>
          <w:rFonts w:ascii="Times New Roman" w:hAnsi="Times New Roman"/>
        </w:rPr>
      </w:pPr>
      <w:r w:rsidRPr="00DE2A63">
        <w:rPr>
          <w:rFonts w:ascii="Times New Roman" w:hAnsi="Times New Roman"/>
          <w:b/>
          <w:bCs/>
        </w:rPr>
        <w:t>Keywords:</w:t>
      </w:r>
      <w:r w:rsidRPr="00FB451E">
        <w:rPr>
          <w:rFonts w:ascii="Times New Roman" w:hAnsi="Times New Roman"/>
        </w:rPr>
        <w:t xml:space="preserve"> Physical activity; Osteoporosis risk; Health.</w:t>
      </w:r>
    </w:p>
    <w:p w14:paraId="71DCFC01" w14:textId="77777777" w:rsidR="00922E4D" w:rsidRDefault="00922E4D" w:rsidP="00053835">
      <w:pPr>
        <w:snapToGrid w:val="0"/>
        <w:spacing w:line="360" w:lineRule="auto"/>
        <w:rPr>
          <w:rFonts w:ascii="Times New Roman" w:hAnsi="Times New Roman"/>
          <w:b/>
          <w:color w:val="111A0B"/>
          <w:sz w:val="32"/>
          <w:szCs w:val="32"/>
          <w:shd w:val="clear" w:color="auto" w:fill="FFFFFF"/>
          <w:lang w:val="en-US"/>
        </w:rPr>
      </w:pPr>
    </w:p>
    <w:p w14:paraId="2743D609" w14:textId="40E6D097" w:rsidR="00053835" w:rsidRDefault="00053835" w:rsidP="00053835">
      <w:pPr>
        <w:snapToGrid w:val="0"/>
        <w:spacing w:line="360" w:lineRule="auto"/>
        <w:rPr>
          <w:rFonts w:ascii="Times New Roman" w:hAnsi="Times New Roman"/>
          <w:b/>
          <w:color w:val="111A0B"/>
          <w:sz w:val="32"/>
          <w:szCs w:val="32"/>
          <w:shd w:val="clear" w:color="auto" w:fill="FFFFFF"/>
          <w:lang w:val="en-US"/>
        </w:rPr>
      </w:pPr>
      <w:r w:rsidRPr="00053835">
        <w:rPr>
          <w:rFonts w:ascii="Times New Roman" w:hAnsi="Times New Roman"/>
          <w:b/>
          <w:color w:val="111A0B"/>
          <w:sz w:val="32"/>
          <w:szCs w:val="32"/>
          <w:shd w:val="clear" w:color="auto" w:fill="FFFFFF"/>
          <w:lang w:val="en-US"/>
        </w:rPr>
        <w:t>References</w:t>
      </w:r>
    </w:p>
    <w:p w14:paraId="68A5F13F" w14:textId="49CFAEC4" w:rsidR="00B20CF4" w:rsidRPr="000119FC" w:rsidRDefault="00B20CF4" w:rsidP="000119FC">
      <w:pPr>
        <w:spacing w:after="120"/>
        <w:ind w:left="567" w:hanging="567"/>
        <w:jc w:val="both"/>
        <w:rPr>
          <w:rFonts w:ascii="Times New Roman" w:hAnsi="Times New Roman"/>
          <w:sz w:val="22"/>
          <w:szCs w:val="22"/>
          <w:lang w:val="es-ES"/>
        </w:rPr>
      </w:pPr>
      <w:r w:rsidRPr="000119FC">
        <w:rPr>
          <w:rFonts w:ascii="Times New Roman" w:hAnsi="Times New Roman"/>
          <w:sz w:val="22"/>
          <w:szCs w:val="22"/>
        </w:rPr>
        <w:t xml:space="preserve">Rocha, A. C., Araújo, B. L., Farias, F. T., Araújo, R. D., &amp; de Sousa, M. N. (2021). Mapeamento do perfil das publicações sobre osteoporose entre os anos 2009 a 2019. </w:t>
      </w:r>
      <w:proofErr w:type="spellStart"/>
      <w:r w:rsidRPr="000119FC">
        <w:rPr>
          <w:rFonts w:ascii="Times New Roman" w:hAnsi="Times New Roman"/>
          <w:i/>
          <w:iCs/>
          <w:sz w:val="22"/>
          <w:szCs w:val="22"/>
          <w:lang w:val="es-ES"/>
        </w:rPr>
        <w:t>Integr@ção</w:t>
      </w:r>
      <w:proofErr w:type="spellEnd"/>
      <w:r w:rsidRPr="000119FC">
        <w:rPr>
          <w:rFonts w:ascii="Times New Roman" w:hAnsi="Times New Roman"/>
          <w:i/>
          <w:iCs/>
          <w:sz w:val="22"/>
          <w:szCs w:val="22"/>
          <w:lang w:val="es-ES"/>
        </w:rPr>
        <w:t>, 2</w:t>
      </w:r>
      <w:r w:rsidRPr="000119FC">
        <w:rPr>
          <w:rFonts w:ascii="Times New Roman" w:hAnsi="Times New Roman"/>
          <w:sz w:val="22"/>
          <w:szCs w:val="22"/>
          <w:lang w:val="es-ES"/>
        </w:rPr>
        <w:t>(1), 35-44.</w:t>
      </w:r>
    </w:p>
    <w:p w14:paraId="4124EE48" w14:textId="134499DF" w:rsidR="00B20CF4" w:rsidRPr="000119FC" w:rsidRDefault="00B20CF4" w:rsidP="000119FC">
      <w:pPr>
        <w:spacing w:after="120"/>
        <w:ind w:left="567" w:hanging="567"/>
        <w:jc w:val="both"/>
        <w:rPr>
          <w:rFonts w:ascii="Times New Roman" w:hAnsi="Times New Roman"/>
          <w:sz w:val="22"/>
          <w:szCs w:val="22"/>
          <w:lang w:val="es-ES"/>
        </w:rPr>
      </w:pPr>
      <w:r w:rsidRPr="000119FC">
        <w:rPr>
          <w:rFonts w:ascii="Times New Roman" w:hAnsi="Times New Roman"/>
          <w:sz w:val="22"/>
          <w:szCs w:val="22"/>
          <w:lang w:val="es-ES"/>
        </w:rPr>
        <w:t xml:space="preserve">International Osteoporosis </w:t>
      </w:r>
      <w:proofErr w:type="spellStart"/>
      <w:r w:rsidRPr="000119FC">
        <w:rPr>
          <w:rFonts w:ascii="Times New Roman" w:hAnsi="Times New Roman"/>
          <w:sz w:val="22"/>
          <w:szCs w:val="22"/>
          <w:lang w:val="es-ES"/>
        </w:rPr>
        <w:t>Foundation</w:t>
      </w:r>
      <w:proofErr w:type="spellEnd"/>
      <w:r w:rsidRPr="000119FC">
        <w:rPr>
          <w:rFonts w:ascii="Times New Roman" w:hAnsi="Times New Roman"/>
          <w:sz w:val="22"/>
          <w:szCs w:val="22"/>
          <w:lang w:val="es-ES"/>
        </w:rPr>
        <w:t xml:space="preserve">. (2020). </w:t>
      </w:r>
      <w:proofErr w:type="spellStart"/>
      <w:r w:rsidRPr="000119FC">
        <w:rPr>
          <w:rFonts w:ascii="Times New Roman" w:hAnsi="Times New Roman"/>
          <w:i/>
          <w:iCs/>
          <w:sz w:val="22"/>
          <w:szCs w:val="22"/>
          <w:lang w:val="es-ES"/>
        </w:rPr>
        <w:t>Prevention</w:t>
      </w:r>
      <w:proofErr w:type="spellEnd"/>
      <w:r w:rsidRPr="000119FC">
        <w:rPr>
          <w:rFonts w:ascii="Times New Roman" w:hAnsi="Times New Roman"/>
          <w:sz w:val="22"/>
          <w:szCs w:val="22"/>
          <w:lang w:val="es-ES"/>
        </w:rPr>
        <w:t xml:space="preserve">. </w:t>
      </w:r>
      <w:proofErr w:type="spellStart"/>
      <w:r w:rsidRPr="000119FC">
        <w:rPr>
          <w:rFonts w:ascii="Times New Roman" w:hAnsi="Times New Roman"/>
          <w:sz w:val="22"/>
          <w:szCs w:val="22"/>
          <w:lang w:val="es-ES"/>
        </w:rPr>
        <w:t>Author</w:t>
      </w:r>
      <w:proofErr w:type="spellEnd"/>
      <w:r w:rsidRPr="000119FC">
        <w:rPr>
          <w:rFonts w:ascii="Times New Roman" w:hAnsi="Times New Roman"/>
          <w:sz w:val="22"/>
          <w:szCs w:val="22"/>
          <w:lang w:val="es-ES"/>
        </w:rPr>
        <w:t xml:space="preserve">. </w:t>
      </w:r>
      <w:hyperlink r:id="rId10" w:history="1">
        <w:r w:rsidRPr="000119FC">
          <w:rPr>
            <w:rStyle w:val="Hiperligao"/>
            <w:rFonts w:ascii="Times New Roman" w:hAnsi="Times New Roman"/>
            <w:sz w:val="22"/>
            <w:szCs w:val="22"/>
            <w:lang w:val="es-ES"/>
          </w:rPr>
          <w:t>https://www.osteoporosis.foundation/health-professionals/treatment/denosumab</w:t>
        </w:r>
      </w:hyperlink>
      <w:r w:rsidRPr="000119FC">
        <w:rPr>
          <w:rFonts w:ascii="Times New Roman" w:hAnsi="Times New Roman"/>
          <w:sz w:val="22"/>
          <w:szCs w:val="22"/>
          <w:lang w:val="es-ES"/>
        </w:rPr>
        <w:t>.</w:t>
      </w:r>
    </w:p>
    <w:p w14:paraId="40D60551" w14:textId="3F707C3B" w:rsidR="00B20CF4" w:rsidRPr="000119FC" w:rsidRDefault="00B20CF4" w:rsidP="000119FC">
      <w:pPr>
        <w:spacing w:after="120"/>
        <w:ind w:left="567" w:hanging="567"/>
        <w:jc w:val="both"/>
        <w:rPr>
          <w:rFonts w:ascii="Times New Roman" w:hAnsi="Times New Roman"/>
          <w:sz w:val="22"/>
          <w:szCs w:val="22"/>
        </w:rPr>
      </w:pPr>
      <w:r w:rsidRPr="000119FC">
        <w:rPr>
          <w:rFonts w:ascii="Times New Roman" w:hAnsi="Times New Roman"/>
          <w:sz w:val="22"/>
          <w:szCs w:val="22"/>
        </w:rPr>
        <w:t xml:space="preserve">Castro, I. O. (2021). Alimentar o corpo, despertar os sentidos: Testemunhos da arte médica portuguesa neolatina. </w:t>
      </w:r>
      <w:r w:rsidRPr="000119FC">
        <w:rPr>
          <w:rFonts w:ascii="Times New Roman" w:hAnsi="Times New Roman"/>
          <w:i/>
          <w:iCs/>
          <w:sz w:val="22"/>
          <w:szCs w:val="22"/>
        </w:rPr>
        <w:t>Humanitas, 77</w:t>
      </w:r>
      <w:r w:rsidRPr="000119FC">
        <w:rPr>
          <w:rFonts w:ascii="Times New Roman" w:hAnsi="Times New Roman"/>
          <w:sz w:val="22"/>
          <w:szCs w:val="22"/>
        </w:rPr>
        <w:t xml:space="preserve">, 137-167. </w:t>
      </w:r>
      <w:hyperlink r:id="rId11" w:history="1">
        <w:r w:rsidRPr="000119FC">
          <w:rPr>
            <w:rStyle w:val="Hiperligao"/>
            <w:rFonts w:ascii="Times New Roman" w:hAnsi="Times New Roman"/>
            <w:sz w:val="22"/>
            <w:szCs w:val="22"/>
          </w:rPr>
          <w:t>https://impactum-journals.uc.pt/humanitas/article/view/9847/7299</w:t>
        </w:r>
      </w:hyperlink>
      <w:r w:rsidRPr="000119FC">
        <w:rPr>
          <w:rFonts w:ascii="Times New Roman" w:hAnsi="Times New Roman"/>
          <w:sz w:val="22"/>
          <w:szCs w:val="22"/>
        </w:rPr>
        <w:t>.</w:t>
      </w:r>
    </w:p>
    <w:p w14:paraId="6D96C100" w14:textId="595AB3E8" w:rsidR="00B20CF4" w:rsidRPr="000119FC" w:rsidRDefault="00B20CF4" w:rsidP="000119FC">
      <w:pPr>
        <w:spacing w:after="120"/>
        <w:ind w:left="567" w:hanging="567"/>
        <w:jc w:val="both"/>
        <w:rPr>
          <w:rFonts w:ascii="Times New Roman" w:hAnsi="Times New Roman"/>
          <w:sz w:val="22"/>
          <w:szCs w:val="22"/>
        </w:rPr>
      </w:pPr>
      <w:r w:rsidRPr="000119FC">
        <w:rPr>
          <w:rFonts w:ascii="Times New Roman" w:hAnsi="Times New Roman"/>
          <w:sz w:val="22"/>
          <w:szCs w:val="22"/>
        </w:rPr>
        <w:t xml:space="preserve">Grupo de Trabalho da UE «Saúde e Desporto». (2008). </w:t>
      </w:r>
      <w:r w:rsidRPr="000119FC">
        <w:rPr>
          <w:rFonts w:ascii="Times New Roman" w:hAnsi="Times New Roman"/>
          <w:i/>
          <w:iCs/>
          <w:sz w:val="22"/>
          <w:szCs w:val="22"/>
        </w:rPr>
        <w:t>Orientações da UE para a promoção da actividade física: Acções recomendadas para apoiar a actividade física benéfica para a saúde</w:t>
      </w:r>
      <w:r w:rsidRPr="000119FC">
        <w:rPr>
          <w:rFonts w:ascii="Times New Roman" w:hAnsi="Times New Roman"/>
          <w:sz w:val="22"/>
          <w:szCs w:val="22"/>
        </w:rPr>
        <w:t>. https://ec.europa.eu/assets/eac/sport/library/policy_documents/eu-physical-activity-guidelines-2008_pt.pdf.</w:t>
      </w:r>
    </w:p>
    <w:p w14:paraId="42889982" w14:textId="77777777" w:rsidR="00053835" w:rsidRPr="00B20CF4" w:rsidRDefault="00053835" w:rsidP="00053835">
      <w:pPr>
        <w:snapToGrid w:val="0"/>
        <w:spacing w:line="360" w:lineRule="auto"/>
        <w:rPr>
          <w:rFonts w:ascii="Times New Roman" w:hAnsi="Times New Roman"/>
          <w:b/>
          <w:color w:val="111A0B"/>
          <w:sz w:val="32"/>
          <w:szCs w:val="32"/>
          <w:shd w:val="clear" w:color="auto" w:fill="FFFFFF"/>
        </w:rPr>
      </w:pPr>
    </w:p>
    <w:sectPr w:rsidR="00053835" w:rsidRPr="00B20C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F44D8"/>
    <w:multiLevelType w:val="hybridMultilevel"/>
    <w:tmpl w:val="9F286D1A"/>
    <w:lvl w:ilvl="0" w:tplc="08160001">
      <w:start w:val="1"/>
      <w:numFmt w:val="bullet"/>
      <w:lvlText w:val=""/>
      <w:lvlJc w:val="left"/>
      <w:pPr>
        <w:ind w:left="1428" w:hanging="360"/>
      </w:pPr>
      <w:rPr>
        <w:rFonts w:ascii="Symbol" w:hAnsi="Symbol" w:hint="default"/>
      </w:rPr>
    </w:lvl>
    <w:lvl w:ilvl="1" w:tplc="08160003">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 w15:restartNumberingAfterBreak="0">
    <w:nsid w:val="68D91B9A"/>
    <w:multiLevelType w:val="hybridMultilevel"/>
    <w:tmpl w:val="1B96AD8C"/>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num w:numId="1" w16cid:durableId="696661559">
    <w:abstractNumId w:val="1"/>
  </w:num>
  <w:num w:numId="2" w16cid:durableId="98647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NzI0MzE2MjeztLRQ0lEKTi0uzszPAykwqgUA570qDywAAAA="/>
  </w:docVars>
  <w:rsids>
    <w:rsidRoot w:val="00ED0876"/>
    <w:rsid w:val="000119FC"/>
    <w:rsid w:val="00053835"/>
    <w:rsid w:val="00062A58"/>
    <w:rsid w:val="00130A16"/>
    <w:rsid w:val="00197F27"/>
    <w:rsid w:val="0025417D"/>
    <w:rsid w:val="0030079E"/>
    <w:rsid w:val="00334246"/>
    <w:rsid w:val="003F29B1"/>
    <w:rsid w:val="00422320"/>
    <w:rsid w:val="00472F8D"/>
    <w:rsid w:val="00820AD1"/>
    <w:rsid w:val="00922E4D"/>
    <w:rsid w:val="00941584"/>
    <w:rsid w:val="00A35380"/>
    <w:rsid w:val="00B20CF4"/>
    <w:rsid w:val="00B3770B"/>
    <w:rsid w:val="00B56438"/>
    <w:rsid w:val="00BA5789"/>
    <w:rsid w:val="00CA79CA"/>
    <w:rsid w:val="00D0099A"/>
    <w:rsid w:val="00DE2A63"/>
    <w:rsid w:val="00ED0876"/>
    <w:rsid w:val="00FC38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9C41"/>
  <w15:chartTrackingRefBased/>
  <w15:docId w15:val="{7E5E6FCB-D6FA-4D19-B869-F836AE67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76"/>
    <w:pPr>
      <w:spacing w:after="0" w:line="240" w:lineRule="auto"/>
    </w:pPr>
    <w:rPr>
      <w:rFonts w:ascii="Calibri" w:eastAsia="Calibri" w:hAnsi="Calibri" w:cs="Times New Roman"/>
      <w:sz w:val="24"/>
      <w:szCs w:val="24"/>
      <w:lang w:val="pt-BR"/>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ED0876"/>
    <w:rPr>
      <w:sz w:val="16"/>
      <w:szCs w:val="16"/>
    </w:rPr>
  </w:style>
  <w:style w:type="paragraph" w:styleId="Textodebalo">
    <w:name w:val="Balloon Text"/>
    <w:basedOn w:val="Normal"/>
    <w:link w:val="TextodebaloCarter"/>
    <w:uiPriority w:val="99"/>
    <w:semiHidden/>
    <w:unhideWhenUsed/>
    <w:rsid w:val="00ED0876"/>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D0876"/>
    <w:rPr>
      <w:rFonts w:ascii="Segoe UI" w:eastAsia="Calibri" w:hAnsi="Segoe UI" w:cs="Segoe UI"/>
      <w:sz w:val="18"/>
      <w:szCs w:val="18"/>
      <w:lang w:val="pt-BR"/>
    </w:rPr>
  </w:style>
  <w:style w:type="character" w:styleId="Hiperligao">
    <w:name w:val="Hyperlink"/>
    <w:basedOn w:val="Tipodeletrapredefinidodopargrafo"/>
    <w:uiPriority w:val="99"/>
    <w:unhideWhenUsed/>
    <w:rsid w:val="00ED0876"/>
    <w:rPr>
      <w:color w:val="0563C1" w:themeColor="hyperlink"/>
      <w:u w:val="single"/>
    </w:rPr>
  </w:style>
  <w:style w:type="character" w:styleId="MenoNoResolvida">
    <w:name w:val="Unresolved Mention"/>
    <w:basedOn w:val="Tipodeletrapredefinidodopargrafo"/>
    <w:uiPriority w:val="99"/>
    <w:semiHidden/>
    <w:unhideWhenUsed/>
    <w:rsid w:val="00ED0876"/>
    <w:rPr>
      <w:color w:val="605E5C"/>
      <w:shd w:val="clear" w:color="auto" w:fill="E1DFDD"/>
    </w:rPr>
  </w:style>
  <w:style w:type="paragraph" w:styleId="PargrafodaLista">
    <w:name w:val="List Paragraph"/>
    <w:basedOn w:val="Normal"/>
    <w:uiPriority w:val="34"/>
    <w:qFormat/>
    <w:rsid w:val="00FC38B1"/>
    <w:pPr>
      <w:ind w:left="720"/>
      <w:contextualSpacing/>
    </w:pPr>
  </w:style>
  <w:style w:type="paragraph" w:styleId="NormalWeb">
    <w:name w:val="Normal (Web)"/>
    <w:aliases w:val="Normal (Web) Carácter Carácter,Normal (Web) Carácter Carácter Carácter Carácter"/>
    <w:basedOn w:val="Normal"/>
    <w:link w:val="NormalWebCarter"/>
    <w:uiPriority w:val="99"/>
    <w:unhideWhenUsed/>
    <w:rsid w:val="00334246"/>
    <w:pPr>
      <w:spacing w:before="100" w:beforeAutospacing="1" w:after="100" w:afterAutospacing="1"/>
    </w:pPr>
    <w:rPr>
      <w:rFonts w:ascii="Times New Roman" w:eastAsia="Times New Roman" w:hAnsi="Times New Roman"/>
      <w:lang w:val="pt-PT" w:eastAsia="pt-PT"/>
    </w:rPr>
  </w:style>
  <w:style w:type="character" w:customStyle="1" w:styleId="NormalWebCarter">
    <w:name w:val="Normal (Web) Caráter"/>
    <w:aliases w:val="Normal (Web) Carácter Carácter Caráter,Normal (Web) Carácter Carácter Carácter Carácter Caráter"/>
    <w:link w:val="NormalWeb"/>
    <w:uiPriority w:val="99"/>
    <w:locked/>
    <w:rsid w:val="00334246"/>
    <w:rPr>
      <w:rFonts w:ascii="Times New Roman" w:eastAsia="Times New Roman" w:hAnsi="Times New Roman" w:cs="Times New Roman"/>
      <w:sz w:val="24"/>
      <w:szCs w:val="24"/>
      <w:lang w:eastAsia="pt-PT"/>
    </w:rPr>
  </w:style>
  <w:style w:type="character" w:customStyle="1" w:styleId="xmarkedcontent">
    <w:name w:val="x_markedcontent"/>
    <w:basedOn w:val="Tipodeletrapredefinidodopargrafo"/>
    <w:rsid w:val="00334246"/>
  </w:style>
  <w:style w:type="character" w:customStyle="1" w:styleId="xfontsizemedium">
    <w:name w:val="x_fontsizemedium"/>
    <w:basedOn w:val="Tipodeletrapredefinidodopargrafo"/>
    <w:rsid w:val="00334246"/>
  </w:style>
  <w:style w:type="character" w:customStyle="1" w:styleId="marki0vor68tq">
    <w:name w:val="marki0vor68tq"/>
    <w:basedOn w:val="Tipodeletrapredefinidodopargrafo"/>
    <w:rsid w:val="0030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610-06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1-5112-6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mpactum-journals.uc.pt/humanitas/article/view/9847/7299" TargetMode="External"/><Relationship Id="rId5" Type="http://schemas.openxmlformats.org/officeDocument/2006/relationships/hyperlink" Target="https://orcid.org/0000-0002-2540-682X" TargetMode="External"/><Relationship Id="rId10" Type="http://schemas.openxmlformats.org/officeDocument/2006/relationships/hyperlink" Target="https://www.osteoporosis.foundation/health-professionals/treatment/denosumab" TargetMode="External"/><Relationship Id="rId4" Type="http://schemas.openxmlformats.org/officeDocument/2006/relationships/webSettings" Target="webSettings.xml"/><Relationship Id="rId9" Type="http://schemas.openxmlformats.org/officeDocument/2006/relationships/hyperlink" Target="https://orcid.org/0000-0002-3162-208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2790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Motricidade</dc:creator>
  <cp:keywords/>
  <dc:description/>
  <cp:lastModifiedBy>Revista Motricidade</cp:lastModifiedBy>
  <cp:revision>6</cp:revision>
  <cp:lastPrinted>2025-03-18T15:43:00Z</cp:lastPrinted>
  <dcterms:created xsi:type="dcterms:W3CDTF">2023-10-11T15:07:00Z</dcterms:created>
  <dcterms:modified xsi:type="dcterms:W3CDTF">2025-03-18T15:43:00Z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481ae497d7ae646008424e5b506ac71a50f700a1fe92dcd30e99406a38baa284</vt:lpwstr>
  </property>
</Properties>
</file>