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25" w:rsidRDefault="001E55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1.</w:t>
      </w:r>
    </w:p>
    <w:p w:rsidR="00A9534E" w:rsidRDefault="0098325E">
      <w:pPr>
        <w:rPr>
          <w:rFonts w:ascii="Arial" w:hAnsi="Arial" w:cs="Arial"/>
          <w:sz w:val="24"/>
        </w:rPr>
      </w:pPr>
      <w:r w:rsidRPr="0098325E">
        <w:rPr>
          <w:rFonts w:ascii="Arial" w:hAnsi="Arial" w:cs="Arial"/>
          <w:b/>
          <w:sz w:val="24"/>
        </w:rPr>
        <w:t xml:space="preserve">Título: </w:t>
      </w:r>
      <w:proofErr w:type="spellStart"/>
      <w:r w:rsidR="00A9534E" w:rsidRPr="0098325E">
        <w:rPr>
          <w:rFonts w:ascii="Arial" w:hAnsi="Arial" w:cs="Arial"/>
          <w:sz w:val="24"/>
        </w:rPr>
        <w:t>Hiperparatiroidismo</w:t>
      </w:r>
      <w:proofErr w:type="spellEnd"/>
      <w:r w:rsidR="00A9534E" w:rsidRPr="0098325E">
        <w:rPr>
          <w:rFonts w:ascii="Arial" w:hAnsi="Arial" w:cs="Arial"/>
          <w:sz w:val="24"/>
        </w:rPr>
        <w:t xml:space="preserve"> primário</w:t>
      </w:r>
      <w:r w:rsidR="00A9534E">
        <w:rPr>
          <w:rFonts w:ascii="Arial" w:hAnsi="Arial" w:cs="Arial"/>
          <w:sz w:val="24"/>
        </w:rPr>
        <w:t xml:space="preserve"> em idade pediátrica:</w:t>
      </w:r>
      <w:r w:rsidR="00A9534E" w:rsidRPr="0098325E">
        <w:rPr>
          <w:rFonts w:ascii="Arial" w:hAnsi="Arial" w:cs="Arial"/>
          <w:sz w:val="24"/>
        </w:rPr>
        <w:t xml:space="preserve"> uma causa rara </w:t>
      </w:r>
      <w:r w:rsidR="00A9534E">
        <w:rPr>
          <w:rFonts w:ascii="Arial" w:hAnsi="Arial" w:cs="Arial"/>
          <w:sz w:val="24"/>
        </w:rPr>
        <w:t>de litíase renal</w:t>
      </w:r>
    </w:p>
    <w:p w:rsidR="0098325E" w:rsidRDefault="0098325E">
      <w:pPr>
        <w:rPr>
          <w:rFonts w:ascii="Arial" w:hAnsi="Arial" w:cs="Arial"/>
          <w:sz w:val="24"/>
          <w:lang w:val="en-US"/>
        </w:rPr>
      </w:pPr>
      <w:proofErr w:type="spellStart"/>
      <w:r w:rsidRPr="0098325E">
        <w:rPr>
          <w:rFonts w:ascii="Arial" w:hAnsi="Arial" w:cs="Arial"/>
          <w:b/>
          <w:sz w:val="24"/>
        </w:rPr>
        <w:t>Title</w:t>
      </w:r>
      <w:proofErr w:type="spellEnd"/>
      <w:r w:rsidRPr="0098325E">
        <w:rPr>
          <w:rFonts w:ascii="Arial" w:hAnsi="Arial" w:cs="Arial"/>
          <w:b/>
          <w:sz w:val="24"/>
        </w:rPr>
        <w:t xml:space="preserve">: </w:t>
      </w:r>
      <w:r w:rsidR="00A9534E" w:rsidRPr="00203818">
        <w:rPr>
          <w:rFonts w:ascii="Arial" w:hAnsi="Arial" w:cs="Arial"/>
          <w:sz w:val="24"/>
          <w:lang w:val="en-US"/>
        </w:rPr>
        <w:t xml:space="preserve">Pediatric primary hyperparathyroidism: </w:t>
      </w:r>
      <w:proofErr w:type="gramStart"/>
      <w:r w:rsidR="00A9534E" w:rsidRPr="00203818">
        <w:rPr>
          <w:rFonts w:ascii="Arial" w:hAnsi="Arial" w:cs="Arial"/>
          <w:sz w:val="24"/>
          <w:lang w:val="en-US"/>
        </w:rPr>
        <w:t>a</w:t>
      </w:r>
      <w:proofErr w:type="gramEnd"/>
      <w:r w:rsidR="00A9534E" w:rsidRPr="00203818">
        <w:rPr>
          <w:rFonts w:ascii="Arial" w:hAnsi="Arial" w:cs="Arial"/>
          <w:sz w:val="24"/>
          <w:lang w:val="en-US"/>
        </w:rPr>
        <w:t xml:space="preserve"> rare cause of nephrolithiasis</w:t>
      </w:r>
    </w:p>
    <w:p w:rsidR="00A9534E" w:rsidRDefault="00A9534E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Default="009410B2">
      <w:pPr>
        <w:rPr>
          <w:b/>
        </w:rPr>
      </w:pPr>
    </w:p>
    <w:p w:rsidR="009410B2" w:rsidRPr="001E5525" w:rsidRDefault="001E5525" w:rsidP="001E5525">
      <w:pPr>
        <w:tabs>
          <w:tab w:val="left" w:pos="2465"/>
        </w:tabs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lastRenderedPageBreak/>
        <w:t>2.</w:t>
      </w:r>
      <w:r>
        <w:rPr>
          <w:rFonts w:ascii="Arial" w:hAnsi="Arial" w:cs="Arial"/>
          <w:b/>
          <w:sz w:val="24"/>
          <w:szCs w:val="24"/>
        </w:rPr>
        <w:tab/>
      </w:r>
    </w:p>
    <w:p w:rsidR="0098325E" w:rsidRPr="00B85102" w:rsidRDefault="001E55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Autores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 w:rsidRPr="0098325E">
        <w:rPr>
          <w:rFonts w:ascii="Arial" w:hAnsi="Arial" w:cs="Arial"/>
          <w:sz w:val="24"/>
        </w:rPr>
        <w:t xml:space="preserve">Ana Teresa Soares, </w:t>
      </w:r>
      <w:r w:rsidRPr="00E071EE">
        <w:rPr>
          <w:rFonts w:ascii="Arial" w:hAnsi="Arial" w:cs="Arial"/>
          <w:sz w:val="24"/>
        </w:rPr>
        <w:t>Interna de Pediatria, Serviço de Pediatria, Hospital Garcia de Orta</w:t>
      </w:r>
    </w:p>
    <w:p w:rsidR="0098325E" w:rsidRDefault="00F20E8D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Miguel Fró</w:t>
      </w:r>
      <w:r w:rsidR="0098325E">
        <w:rPr>
          <w:rFonts w:ascii="Arial" w:hAnsi="Arial" w:cs="Arial"/>
          <w:sz w:val="24"/>
        </w:rPr>
        <w:t>is Borges, Interno de Cirurgia Geral, Serviço de Cirurgia,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Margarida Pinto, Assistente Hospitalar de Pediatria, Serviço de Pediatria,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Paulo Calhau, Assistente Hospitalar Graduado de Pediatria, Serviço de Pediatria,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Maria Carlos</w:t>
      </w:r>
      <w:r w:rsidR="00F20E8D">
        <w:rPr>
          <w:rFonts w:ascii="Arial" w:hAnsi="Arial" w:cs="Arial"/>
          <w:sz w:val="24"/>
        </w:rPr>
        <w:t xml:space="preserve"> Cordeiro</w:t>
      </w:r>
      <w:r>
        <w:rPr>
          <w:rFonts w:ascii="Arial" w:hAnsi="Arial" w:cs="Arial"/>
          <w:sz w:val="24"/>
        </w:rPr>
        <w:t>, Assistente Hospitalar Graduada de Endocrinologia, Serviço de Endocrinologia,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Isabel Nascimento, Assistente Hospitalar Graduada de Cirurgia Geral, Serviço de Cirurgia,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Manuela Braga, Assistente Hospitalar Graduada de Pediatria, Serviço de Pediatria, Hospital Garcia de Orta</w:t>
      </w:r>
    </w:p>
    <w:p w:rsidR="0098325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8325E" w:rsidRPr="00E071EE" w:rsidRDefault="0098325E" w:rsidP="0098325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 xml:space="preserve">Autor correspondente: </w:t>
      </w:r>
    </w:p>
    <w:p w:rsidR="0098325E" w:rsidRPr="00E071E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>Ana Teresa Soares</w:t>
      </w:r>
    </w:p>
    <w:p w:rsidR="0098325E" w:rsidRPr="00E071EE" w:rsidRDefault="0098325E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 w:rsidRPr="00E071EE">
        <w:rPr>
          <w:rFonts w:ascii="Arial" w:hAnsi="Arial" w:cs="Arial"/>
          <w:sz w:val="24"/>
        </w:rPr>
        <w:t xml:space="preserve">R. Actor José Pinheiro Amaro, nº 16 -2º </w:t>
      </w:r>
      <w:proofErr w:type="spellStart"/>
      <w:r w:rsidRPr="00E071EE">
        <w:rPr>
          <w:rFonts w:ascii="Arial" w:hAnsi="Arial" w:cs="Arial"/>
          <w:sz w:val="24"/>
        </w:rPr>
        <w:t>esq</w:t>
      </w:r>
      <w:proofErr w:type="spellEnd"/>
      <w:r w:rsidRPr="00E071EE">
        <w:rPr>
          <w:rFonts w:ascii="Arial" w:hAnsi="Arial" w:cs="Arial"/>
          <w:sz w:val="24"/>
        </w:rPr>
        <w:t xml:space="preserve"> – 2790-005 Carnaxide</w:t>
      </w:r>
    </w:p>
    <w:p w:rsidR="00105314" w:rsidRPr="00105314" w:rsidRDefault="00FC78A9" w:rsidP="0098325E">
      <w:pPr>
        <w:spacing w:after="0" w:line="360" w:lineRule="auto"/>
        <w:jc w:val="both"/>
        <w:rPr>
          <w:rFonts w:ascii="Arial" w:hAnsi="Arial" w:cs="Arial"/>
          <w:color w:val="0000FF"/>
          <w:sz w:val="24"/>
          <w:u w:val="single"/>
        </w:rPr>
      </w:pPr>
      <w:hyperlink r:id="rId5" w:history="1">
        <w:r w:rsidR="0098325E" w:rsidRPr="00E071EE">
          <w:rPr>
            <w:rStyle w:val="Hiperligao"/>
            <w:rFonts w:ascii="Arial" w:hAnsi="Arial" w:cs="Arial"/>
            <w:sz w:val="24"/>
          </w:rPr>
          <w:t>anateresasoares@gmail.com</w:t>
        </w:r>
      </w:hyperlink>
    </w:p>
    <w:p w:rsidR="0098325E" w:rsidRPr="00E071EE" w:rsidRDefault="0098325E" w:rsidP="0098325E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105314" w:rsidRDefault="00105314" w:rsidP="0098325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Contacto dos restantes autores</w:t>
      </w:r>
    </w:p>
    <w:p w:rsidR="00105314" w:rsidRDefault="00105314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Miguel Fróis Borges - </w:t>
      </w:r>
      <w:hyperlink r:id="rId6" w:history="1">
        <w:r w:rsidRPr="00996216">
          <w:rPr>
            <w:rStyle w:val="Hiperligao"/>
            <w:rFonts w:ascii="Arial" w:hAnsi="Arial" w:cs="Arial"/>
            <w:sz w:val="24"/>
          </w:rPr>
          <w:t>mfroisborges@gmail.com</w:t>
        </w:r>
      </w:hyperlink>
    </w:p>
    <w:p w:rsidR="00105314" w:rsidRDefault="00105314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Margarida Pinto – </w:t>
      </w:r>
      <w:hyperlink r:id="rId7" w:history="1">
        <w:r w:rsidRPr="00996216">
          <w:rPr>
            <w:rStyle w:val="Hiperligao"/>
            <w:rFonts w:ascii="Arial" w:hAnsi="Arial" w:cs="Arial"/>
            <w:sz w:val="24"/>
          </w:rPr>
          <w:t>margaridagoncalvespinto@gmail.com</w:t>
        </w:r>
      </w:hyperlink>
    </w:p>
    <w:p w:rsidR="00105314" w:rsidRDefault="00105314" w:rsidP="0098325E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Paulo Calhau – </w:t>
      </w:r>
      <w:hyperlink r:id="rId8" w:history="1">
        <w:r w:rsidRPr="00996216">
          <w:rPr>
            <w:rStyle w:val="Hiperligao"/>
            <w:rFonts w:ascii="Arial" w:hAnsi="Arial" w:cs="Arial"/>
            <w:sz w:val="24"/>
          </w:rPr>
          <w:t>paulo.calhau@hotmail.com</w:t>
        </w:r>
      </w:hyperlink>
    </w:p>
    <w:p w:rsidR="00105314" w:rsidRDefault="00105314" w:rsidP="0098325E">
      <w:pPr>
        <w:spacing w:after="0" w:line="360" w:lineRule="auto"/>
        <w:jc w:val="both"/>
        <w:rPr>
          <w:rStyle w:val="Hiperligao"/>
          <w:sz w:val="24"/>
        </w:rPr>
      </w:pPr>
      <w:r>
        <w:rPr>
          <w:rFonts w:ascii="Arial" w:hAnsi="Arial" w:cs="Arial"/>
          <w:sz w:val="24"/>
        </w:rPr>
        <w:t xml:space="preserve">Maria Carlos Cordeiro - </w:t>
      </w:r>
      <w:hyperlink r:id="rId9" w:history="1">
        <w:r w:rsidRPr="00105314">
          <w:rPr>
            <w:rStyle w:val="Hiperligao"/>
            <w:rFonts w:ascii="Arial" w:hAnsi="Arial" w:cs="Arial"/>
            <w:sz w:val="24"/>
          </w:rPr>
          <w:t>ma.carlos@netcabo.pt</w:t>
        </w:r>
      </w:hyperlink>
    </w:p>
    <w:p w:rsidR="00105314" w:rsidRDefault="00105314" w:rsidP="0098325E">
      <w:pPr>
        <w:spacing w:after="0" w:line="360" w:lineRule="auto"/>
        <w:jc w:val="both"/>
        <w:rPr>
          <w:rStyle w:val="Hiperligao"/>
          <w:rFonts w:ascii="Arial" w:hAnsi="Arial" w:cs="Arial"/>
          <w:sz w:val="24"/>
        </w:rPr>
      </w:pPr>
      <w:r w:rsidRPr="00105314">
        <w:rPr>
          <w:rFonts w:ascii="Arial" w:hAnsi="Arial" w:cs="Arial"/>
          <w:sz w:val="24"/>
        </w:rPr>
        <w:t xml:space="preserve">Isabel Nascimento - </w:t>
      </w:r>
      <w:hyperlink r:id="rId10" w:history="1">
        <w:r w:rsidRPr="00996216">
          <w:rPr>
            <w:rStyle w:val="Hiperligao"/>
            <w:rFonts w:ascii="Arial" w:hAnsi="Arial" w:cs="Arial"/>
            <w:sz w:val="24"/>
          </w:rPr>
          <w:t>isabelmrnascimento@gmail.com</w:t>
        </w:r>
      </w:hyperlink>
    </w:p>
    <w:p w:rsidR="00105314" w:rsidRPr="00105314" w:rsidRDefault="00105314" w:rsidP="0098325E">
      <w:pPr>
        <w:spacing w:after="0" w:line="360" w:lineRule="auto"/>
        <w:jc w:val="both"/>
        <w:rPr>
          <w:rFonts w:ascii="Arial" w:hAnsi="Arial" w:cs="Arial"/>
          <w:color w:val="555555"/>
          <w:sz w:val="20"/>
          <w:szCs w:val="19"/>
          <w:shd w:val="clear" w:color="auto" w:fill="FFFFFF"/>
        </w:rPr>
      </w:pPr>
      <w:r w:rsidRPr="00105314">
        <w:rPr>
          <w:rStyle w:val="Hiperligao"/>
          <w:rFonts w:ascii="Arial" w:hAnsi="Arial" w:cs="Arial"/>
          <w:color w:val="auto"/>
          <w:sz w:val="24"/>
          <w:u w:val="none"/>
        </w:rPr>
        <w:t xml:space="preserve">Manuela Braga - </w:t>
      </w:r>
      <w:r w:rsidRPr="00105314">
        <w:rPr>
          <w:rStyle w:val="Hiperligao"/>
          <w:rFonts w:ascii="Arial" w:hAnsi="Arial" w:cs="Arial"/>
          <w:sz w:val="24"/>
        </w:rPr>
        <w:t>manuelabraga62@gmail.com</w:t>
      </w:r>
    </w:p>
    <w:p w:rsidR="00105314" w:rsidRDefault="00105314" w:rsidP="0098325E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98325E" w:rsidRPr="00E071EE" w:rsidRDefault="0098325E" w:rsidP="0098325E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071EE">
        <w:rPr>
          <w:rFonts w:ascii="Arial" w:hAnsi="Arial" w:cs="Arial"/>
          <w:b/>
          <w:sz w:val="24"/>
        </w:rPr>
        <w:t>Os autores declaram a inexistência de fontes de financiamento e de conflitos de interesse</w:t>
      </w:r>
    </w:p>
    <w:p w:rsidR="0098325E" w:rsidRDefault="0098325E" w:rsidP="0098325E">
      <w:pPr>
        <w:rPr>
          <w:rFonts w:ascii="Arial" w:hAnsi="Arial" w:cs="Arial"/>
          <w:sz w:val="24"/>
          <w:szCs w:val="24"/>
        </w:rPr>
      </w:pPr>
      <w:r w:rsidRPr="00E071EE">
        <w:rPr>
          <w:rFonts w:ascii="Arial" w:hAnsi="Arial" w:cs="Arial"/>
          <w:b/>
          <w:sz w:val="24"/>
          <w:szCs w:val="24"/>
        </w:rPr>
        <w:t xml:space="preserve">Proposto para </w:t>
      </w:r>
      <w:r w:rsidRPr="00F20E8D">
        <w:rPr>
          <w:rFonts w:ascii="Arial" w:hAnsi="Arial" w:cs="Arial"/>
          <w:b/>
          <w:sz w:val="24"/>
          <w:szCs w:val="24"/>
        </w:rPr>
        <w:t>publicação na Secção</w:t>
      </w:r>
      <w:r w:rsidRPr="00E071EE">
        <w:rPr>
          <w:rFonts w:ascii="Arial" w:hAnsi="Arial" w:cs="Arial"/>
          <w:b/>
          <w:sz w:val="24"/>
          <w:szCs w:val="24"/>
        </w:rPr>
        <w:t xml:space="preserve">: </w:t>
      </w:r>
      <w:r w:rsidR="00F20E8D" w:rsidRPr="00F20E8D">
        <w:rPr>
          <w:rFonts w:ascii="Arial" w:hAnsi="Arial" w:cs="Arial"/>
          <w:sz w:val="24"/>
          <w:szCs w:val="24"/>
        </w:rPr>
        <w:t>Caso Clínico</w:t>
      </w:r>
    </w:p>
    <w:p w:rsidR="001E5525" w:rsidRDefault="001E5525" w:rsidP="000F15DA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3. </w:t>
      </w:r>
    </w:p>
    <w:p w:rsidR="001E5525" w:rsidRDefault="001E5525" w:rsidP="000F15DA">
      <w:pPr>
        <w:spacing w:after="0"/>
        <w:jc w:val="both"/>
        <w:rPr>
          <w:rFonts w:ascii="Arial" w:hAnsi="Arial" w:cs="Arial"/>
          <w:b/>
          <w:sz w:val="24"/>
        </w:rPr>
      </w:pPr>
    </w:p>
    <w:p w:rsidR="0098325E" w:rsidRPr="00B85102" w:rsidRDefault="00B85102" w:rsidP="000F15DA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 w:rsidRPr="00B85102">
        <w:rPr>
          <w:rFonts w:ascii="Arial" w:hAnsi="Arial" w:cs="Arial"/>
          <w:b/>
          <w:sz w:val="24"/>
        </w:rPr>
        <w:t>Resumo</w:t>
      </w:r>
    </w:p>
    <w:p w:rsidR="0098325E" w:rsidRDefault="0098325E" w:rsidP="000F15DA">
      <w:pPr>
        <w:spacing w:after="0"/>
        <w:jc w:val="both"/>
        <w:rPr>
          <w:b/>
        </w:rPr>
      </w:pPr>
    </w:p>
    <w:p w:rsidR="00A9534E" w:rsidRDefault="00A9534E" w:rsidP="00A95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5102">
        <w:rPr>
          <w:rFonts w:ascii="Arial" w:hAnsi="Arial" w:cs="Arial"/>
          <w:b/>
          <w:sz w:val="24"/>
          <w:szCs w:val="24"/>
        </w:rPr>
        <w:t xml:space="preserve">Introdução: </w:t>
      </w:r>
      <w:r w:rsidRPr="00B85102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B85102">
        <w:rPr>
          <w:rFonts w:ascii="Arial" w:hAnsi="Arial" w:cs="Arial"/>
          <w:sz w:val="24"/>
          <w:szCs w:val="24"/>
        </w:rPr>
        <w:t>hiperparatiroidismo</w:t>
      </w:r>
      <w:proofErr w:type="spellEnd"/>
      <w:r>
        <w:rPr>
          <w:rFonts w:ascii="Arial" w:hAnsi="Arial" w:cs="Arial"/>
          <w:sz w:val="24"/>
          <w:szCs w:val="24"/>
        </w:rPr>
        <w:t xml:space="preserve"> primário é uma doença rara na idade pediátrica e</w:t>
      </w:r>
      <w:r w:rsidRPr="00B85102">
        <w:rPr>
          <w:rFonts w:ascii="Arial" w:hAnsi="Arial" w:cs="Arial"/>
          <w:sz w:val="24"/>
          <w:szCs w:val="24"/>
        </w:rPr>
        <w:t xml:space="preserve"> </w:t>
      </w:r>
      <w:r w:rsidRPr="0098325E">
        <w:rPr>
          <w:rFonts w:ascii="Arial" w:hAnsi="Arial" w:cs="Arial"/>
          <w:sz w:val="24"/>
          <w:szCs w:val="24"/>
        </w:rPr>
        <w:t xml:space="preserve">define-se como uma alteração primária das glândulas </w:t>
      </w:r>
      <w:proofErr w:type="spellStart"/>
      <w:r w:rsidRPr="0098325E">
        <w:rPr>
          <w:rFonts w:ascii="Arial" w:hAnsi="Arial" w:cs="Arial"/>
          <w:sz w:val="24"/>
          <w:szCs w:val="24"/>
        </w:rPr>
        <w:t>paratiroideias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8325E">
        <w:rPr>
          <w:rFonts w:ascii="Arial" w:hAnsi="Arial" w:cs="Arial"/>
          <w:sz w:val="24"/>
          <w:szCs w:val="24"/>
        </w:rPr>
        <w:t xml:space="preserve"> que condiciona uma produção excessiva de hormona </w:t>
      </w:r>
      <w:proofErr w:type="spellStart"/>
      <w:r w:rsidRPr="0098325E">
        <w:rPr>
          <w:rFonts w:ascii="Arial" w:hAnsi="Arial" w:cs="Arial"/>
          <w:sz w:val="24"/>
          <w:szCs w:val="24"/>
        </w:rPr>
        <w:t>paratiroideia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B85102">
        <w:rPr>
          <w:rFonts w:ascii="Arial" w:hAnsi="Arial" w:cs="Arial"/>
          <w:sz w:val="24"/>
          <w:szCs w:val="24"/>
        </w:rPr>
        <w:t xml:space="preserve"> </w:t>
      </w:r>
    </w:p>
    <w:p w:rsidR="00A9534E" w:rsidRDefault="00A9534E" w:rsidP="00A95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5102">
        <w:rPr>
          <w:rFonts w:ascii="Arial" w:hAnsi="Arial" w:cs="Arial"/>
          <w:b/>
          <w:sz w:val="24"/>
          <w:szCs w:val="24"/>
        </w:rPr>
        <w:t>Caso Clínico: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03818">
        <w:rPr>
          <w:rFonts w:ascii="Arial" w:hAnsi="Arial" w:cs="Arial"/>
          <w:sz w:val="24"/>
          <w:szCs w:val="24"/>
        </w:rPr>
        <w:t>Adolescente</w:t>
      </w:r>
      <w:r w:rsidRPr="00B85102">
        <w:rPr>
          <w:rFonts w:ascii="Arial" w:hAnsi="Arial" w:cs="Arial"/>
          <w:sz w:val="24"/>
          <w:szCs w:val="24"/>
        </w:rPr>
        <w:t xml:space="preserve"> </w:t>
      </w:r>
      <w:r w:rsidR="00016457">
        <w:rPr>
          <w:rFonts w:ascii="Arial" w:hAnsi="Arial" w:cs="Arial"/>
          <w:sz w:val="24"/>
          <w:szCs w:val="24"/>
        </w:rPr>
        <w:t>do sexo masculino com</w:t>
      </w:r>
      <w:r w:rsidRPr="00B85102">
        <w:rPr>
          <w:rFonts w:ascii="Arial" w:hAnsi="Arial" w:cs="Arial"/>
          <w:sz w:val="24"/>
          <w:szCs w:val="24"/>
        </w:rPr>
        <w:t xml:space="preserve"> 12 anos</w:t>
      </w:r>
      <w:r w:rsidR="00016457">
        <w:rPr>
          <w:rFonts w:ascii="Arial" w:hAnsi="Arial" w:cs="Arial"/>
          <w:sz w:val="24"/>
          <w:szCs w:val="24"/>
        </w:rPr>
        <w:t xml:space="preserve"> de idade</w:t>
      </w:r>
      <w:r w:rsidRPr="00B85102">
        <w:rPr>
          <w:rFonts w:ascii="Arial" w:hAnsi="Arial" w:cs="Arial"/>
          <w:sz w:val="24"/>
          <w:szCs w:val="24"/>
        </w:rPr>
        <w:t xml:space="preserve"> admitido na Urgência pediátrica por lombalgia tipo cólica e</w:t>
      </w:r>
      <w:r>
        <w:rPr>
          <w:rFonts w:ascii="Arial" w:hAnsi="Arial" w:cs="Arial"/>
          <w:sz w:val="24"/>
          <w:szCs w:val="24"/>
        </w:rPr>
        <w:t xml:space="preserve"> disú</w:t>
      </w:r>
      <w:r w:rsidRPr="00B85102">
        <w:rPr>
          <w:rFonts w:ascii="Arial" w:hAnsi="Arial" w:cs="Arial"/>
          <w:sz w:val="24"/>
          <w:szCs w:val="24"/>
        </w:rPr>
        <w:t>ria.</w:t>
      </w:r>
      <w:r>
        <w:rPr>
          <w:rFonts w:ascii="Arial" w:hAnsi="Arial" w:cs="Arial"/>
          <w:sz w:val="24"/>
          <w:szCs w:val="24"/>
        </w:rPr>
        <w:t xml:space="preserve"> A ecografia renal evidenciou litíase renal. A investigação laboratorial realizada revelou </w:t>
      </w:r>
      <w:proofErr w:type="spellStart"/>
      <w:r>
        <w:rPr>
          <w:rFonts w:ascii="Arial" w:hAnsi="Arial" w:cs="Arial"/>
          <w:sz w:val="24"/>
          <w:szCs w:val="24"/>
        </w:rPr>
        <w:t>hipercalcémia</w:t>
      </w:r>
      <w:proofErr w:type="spellEnd"/>
      <w:r>
        <w:rPr>
          <w:rFonts w:ascii="Arial" w:hAnsi="Arial" w:cs="Arial"/>
          <w:sz w:val="24"/>
          <w:szCs w:val="24"/>
        </w:rPr>
        <w:t xml:space="preserve">, elevação sérica da hormona </w:t>
      </w:r>
      <w:proofErr w:type="spellStart"/>
      <w:r>
        <w:rPr>
          <w:rFonts w:ascii="Arial" w:hAnsi="Arial" w:cs="Arial"/>
          <w:sz w:val="24"/>
          <w:szCs w:val="24"/>
        </w:rPr>
        <w:t>paratiroideia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hipercalciúria</w:t>
      </w:r>
      <w:proofErr w:type="spellEnd"/>
      <w:r>
        <w:rPr>
          <w:rFonts w:ascii="Arial" w:hAnsi="Arial" w:cs="Arial"/>
          <w:sz w:val="24"/>
          <w:szCs w:val="24"/>
        </w:rPr>
        <w:t xml:space="preserve">. Estabelecido o diagnóstico de </w:t>
      </w:r>
      <w:proofErr w:type="spellStart"/>
      <w:r>
        <w:rPr>
          <w:rFonts w:ascii="Arial" w:hAnsi="Arial" w:cs="Arial"/>
          <w:sz w:val="24"/>
          <w:szCs w:val="24"/>
        </w:rPr>
        <w:t>hiperparatiroidismo</w:t>
      </w:r>
      <w:proofErr w:type="spellEnd"/>
      <w:r>
        <w:rPr>
          <w:rFonts w:ascii="Arial" w:hAnsi="Arial" w:cs="Arial"/>
          <w:sz w:val="24"/>
          <w:szCs w:val="24"/>
        </w:rPr>
        <w:t xml:space="preserve"> primário realizou ecografia cervical e cintigrafia das glândulas tiroideias e </w:t>
      </w:r>
      <w:proofErr w:type="spellStart"/>
      <w:r>
        <w:rPr>
          <w:rFonts w:ascii="Arial" w:hAnsi="Arial" w:cs="Arial"/>
          <w:sz w:val="24"/>
          <w:szCs w:val="24"/>
        </w:rPr>
        <w:t>paratiroideias</w:t>
      </w:r>
      <w:proofErr w:type="spellEnd"/>
      <w:r>
        <w:rPr>
          <w:rFonts w:ascii="Arial" w:hAnsi="Arial" w:cs="Arial"/>
          <w:sz w:val="24"/>
          <w:szCs w:val="24"/>
        </w:rPr>
        <w:t xml:space="preserve"> que foi sugestiva de adenoma da </w:t>
      </w:r>
      <w:proofErr w:type="spellStart"/>
      <w:r>
        <w:rPr>
          <w:rFonts w:ascii="Arial" w:hAnsi="Arial" w:cs="Arial"/>
          <w:sz w:val="24"/>
          <w:szCs w:val="24"/>
        </w:rPr>
        <w:t>paratiroideia</w:t>
      </w:r>
      <w:proofErr w:type="spellEnd"/>
      <w:r>
        <w:rPr>
          <w:rFonts w:ascii="Arial" w:hAnsi="Arial" w:cs="Arial"/>
          <w:sz w:val="24"/>
          <w:szCs w:val="24"/>
        </w:rPr>
        <w:t xml:space="preserve"> inferior direita. Submetido a paratiroidectomia inferior direita com normalização dos valores da </w:t>
      </w:r>
      <w:proofErr w:type="spellStart"/>
      <w:r>
        <w:rPr>
          <w:rFonts w:ascii="Arial" w:hAnsi="Arial" w:cs="Arial"/>
          <w:sz w:val="24"/>
          <w:szCs w:val="24"/>
        </w:rPr>
        <w:t>calcémia</w:t>
      </w:r>
      <w:proofErr w:type="spellEnd"/>
      <w:r>
        <w:rPr>
          <w:rFonts w:ascii="Arial" w:hAnsi="Arial" w:cs="Arial"/>
          <w:sz w:val="24"/>
          <w:szCs w:val="24"/>
        </w:rPr>
        <w:t xml:space="preserve"> e da hormona </w:t>
      </w:r>
      <w:proofErr w:type="spellStart"/>
      <w:r>
        <w:rPr>
          <w:rFonts w:ascii="Arial" w:hAnsi="Arial" w:cs="Arial"/>
          <w:sz w:val="24"/>
          <w:szCs w:val="24"/>
        </w:rPr>
        <w:t>paratiroideia</w:t>
      </w:r>
      <w:proofErr w:type="spellEnd"/>
      <w:r>
        <w:rPr>
          <w:rFonts w:ascii="Arial" w:hAnsi="Arial" w:cs="Arial"/>
          <w:sz w:val="24"/>
          <w:szCs w:val="24"/>
        </w:rPr>
        <w:t xml:space="preserve"> pós-cirurgia. </w:t>
      </w:r>
      <w:r w:rsidRPr="0098325E">
        <w:rPr>
          <w:rFonts w:ascii="Arial" w:hAnsi="Arial" w:cs="Arial"/>
          <w:sz w:val="24"/>
          <w:szCs w:val="24"/>
        </w:rPr>
        <w:t>O exame histológico revelou hiperplasia das células principais</w:t>
      </w:r>
      <w:r>
        <w:rPr>
          <w:rFonts w:ascii="Arial" w:hAnsi="Arial" w:cs="Arial"/>
          <w:sz w:val="24"/>
          <w:szCs w:val="24"/>
        </w:rPr>
        <w:t>. O estudo genético realizado foi negativo.</w:t>
      </w:r>
    </w:p>
    <w:p w:rsidR="00A9534E" w:rsidRDefault="00A9534E" w:rsidP="00A953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Conclusão: </w:t>
      </w:r>
      <w:r w:rsidRPr="002A60BE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2A60BE">
        <w:rPr>
          <w:rFonts w:ascii="Arial" w:hAnsi="Arial" w:cs="Arial"/>
          <w:sz w:val="24"/>
          <w:szCs w:val="24"/>
        </w:rPr>
        <w:t>hiperparatiroidismo</w:t>
      </w:r>
      <w:proofErr w:type="spellEnd"/>
      <w:r w:rsidRPr="002A60BE">
        <w:rPr>
          <w:rFonts w:ascii="Arial" w:hAnsi="Arial" w:cs="Arial"/>
          <w:sz w:val="24"/>
          <w:szCs w:val="24"/>
        </w:rPr>
        <w:t xml:space="preserve"> primário deve ser considerado no diagnóstico diferencial de litíase renal de forma a </w:t>
      </w:r>
      <w:r>
        <w:rPr>
          <w:rFonts w:ascii="Arial" w:hAnsi="Arial" w:cs="Arial"/>
          <w:sz w:val="24"/>
          <w:szCs w:val="24"/>
        </w:rPr>
        <w:t>permitir uma</w:t>
      </w:r>
      <w:r w:rsidRPr="002A60BE">
        <w:rPr>
          <w:rFonts w:ascii="Arial" w:hAnsi="Arial" w:cs="Arial"/>
          <w:sz w:val="24"/>
          <w:szCs w:val="24"/>
        </w:rPr>
        <w:t xml:space="preserve"> intervenção precoce determinante na </w:t>
      </w:r>
      <w:r w:rsidRPr="0098325E">
        <w:rPr>
          <w:rFonts w:ascii="Arial" w:hAnsi="Arial" w:cs="Arial"/>
          <w:sz w:val="24"/>
          <w:szCs w:val="24"/>
        </w:rPr>
        <w:t>prevenção de lesão de órgão-alvo</w:t>
      </w:r>
      <w:r>
        <w:rPr>
          <w:rFonts w:ascii="Arial" w:hAnsi="Arial" w:cs="Arial"/>
          <w:sz w:val="24"/>
          <w:szCs w:val="24"/>
        </w:rPr>
        <w:t>.</w:t>
      </w:r>
    </w:p>
    <w:p w:rsidR="006E14C2" w:rsidRDefault="006E14C2" w:rsidP="000F15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14C2" w:rsidRDefault="006E14C2" w:rsidP="000F1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E14C2">
        <w:rPr>
          <w:rFonts w:ascii="Arial" w:hAnsi="Arial" w:cs="Arial"/>
          <w:b/>
          <w:sz w:val="24"/>
          <w:szCs w:val="24"/>
        </w:rPr>
        <w:t>Palavras-Chave</w:t>
      </w:r>
      <w:r>
        <w:rPr>
          <w:rFonts w:ascii="Arial" w:hAnsi="Arial" w:cs="Arial"/>
          <w:sz w:val="24"/>
          <w:szCs w:val="24"/>
        </w:rPr>
        <w:t xml:space="preserve">: </w:t>
      </w:r>
      <w:r w:rsidR="002C01F9">
        <w:rPr>
          <w:rFonts w:ascii="Arial" w:hAnsi="Arial" w:cs="Arial"/>
          <w:sz w:val="24"/>
          <w:szCs w:val="24"/>
        </w:rPr>
        <w:t xml:space="preserve">criança, </w:t>
      </w:r>
      <w:proofErr w:type="spellStart"/>
      <w:r w:rsidR="002C01F9">
        <w:rPr>
          <w:rFonts w:ascii="Arial" w:hAnsi="Arial" w:cs="Arial"/>
          <w:sz w:val="24"/>
          <w:szCs w:val="24"/>
        </w:rPr>
        <w:t>hipercalcémia</w:t>
      </w:r>
      <w:proofErr w:type="spellEnd"/>
      <w:r w:rsidR="002C01F9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hiperparatirodismo</w:t>
      </w:r>
      <w:proofErr w:type="spellEnd"/>
      <w:r>
        <w:rPr>
          <w:rFonts w:ascii="Arial" w:hAnsi="Arial" w:cs="Arial"/>
          <w:sz w:val="24"/>
          <w:szCs w:val="24"/>
        </w:rPr>
        <w:t xml:space="preserve"> primári</w:t>
      </w:r>
      <w:r w:rsidR="002C01F9">
        <w:rPr>
          <w:rFonts w:ascii="Arial" w:hAnsi="Arial" w:cs="Arial"/>
          <w:sz w:val="24"/>
          <w:szCs w:val="24"/>
        </w:rPr>
        <w:t>o, litíase renal</w:t>
      </w:r>
    </w:p>
    <w:p w:rsidR="00B85102" w:rsidRPr="00B85102" w:rsidRDefault="00B85102" w:rsidP="000F15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8325E" w:rsidRDefault="0098325E" w:rsidP="000F15DA">
      <w:pPr>
        <w:spacing w:after="0"/>
        <w:jc w:val="both"/>
        <w:rPr>
          <w:b/>
        </w:rPr>
      </w:pPr>
    </w:p>
    <w:p w:rsidR="00A9534E" w:rsidRDefault="00A9534E" w:rsidP="000F15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E14C2" w:rsidRDefault="006E14C2" w:rsidP="000F15D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6E14C2">
        <w:rPr>
          <w:rFonts w:ascii="Arial" w:hAnsi="Arial" w:cs="Arial"/>
          <w:b/>
          <w:sz w:val="24"/>
          <w:szCs w:val="24"/>
        </w:rPr>
        <w:t>Abstract</w:t>
      </w:r>
      <w:proofErr w:type="spellEnd"/>
    </w:p>
    <w:p w:rsidR="00A9534E" w:rsidRPr="006E14C2" w:rsidRDefault="00A9534E" w:rsidP="000F15D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9534E" w:rsidRDefault="00A9534E" w:rsidP="00A9534E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r w:rsidRPr="00203818">
        <w:rPr>
          <w:rFonts w:ascii="Arial" w:hAnsi="Arial" w:cs="Arial"/>
          <w:b/>
          <w:sz w:val="24"/>
          <w:szCs w:val="24"/>
          <w:lang w:val="en-US"/>
        </w:rPr>
        <w:t xml:space="preserve">Introduction: </w:t>
      </w:r>
      <w:r w:rsidRPr="00203818">
        <w:rPr>
          <w:rFonts w:ascii="Arial" w:hAnsi="Arial" w:cs="Arial"/>
          <w:sz w:val="24"/>
          <w:szCs w:val="24"/>
          <w:lang w:val="en-US"/>
        </w:rPr>
        <w:t xml:space="preserve">Primary hyperparathyroidism is a rare disease in the pediatric age group and a rare cause of nephrolithiasis. </w:t>
      </w:r>
      <w:proofErr w:type="spellStart"/>
      <w:r w:rsidRPr="00203818">
        <w:rPr>
          <w:rFonts w:ascii="Arial" w:hAnsi="Arial" w:cs="Arial"/>
          <w:sz w:val="24"/>
          <w:szCs w:val="24"/>
        </w:rPr>
        <w:t>It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results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from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an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excessive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production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of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the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parathyroid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hormone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due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03818">
        <w:rPr>
          <w:rFonts w:ascii="Arial" w:hAnsi="Arial" w:cs="Arial"/>
          <w:sz w:val="24"/>
          <w:szCs w:val="24"/>
        </w:rPr>
        <w:t>abnormalities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within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the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parathyroid</w:t>
      </w:r>
      <w:proofErr w:type="spellEnd"/>
      <w:r w:rsidRPr="002038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3818">
        <w:rPr>
          <w:rFonts w:ascii="Arial" w:hAnsi="Arial" w:cs="Arial"/>
          <w:sz w:val="24"/>
          <w:szCs w:val="24"/>
        </w:rPr>
        <w:t>glands</w:t>
      </w:r>
      <w:proofErr w:type="spellEnd"/>
      <w:r w:rsidRPr="00203818">
        <w:rPr>
          <w:rFonts w:ascii="Arial" w:hAnsi="Arial" w:cs="Arial"/>
          <w:sz w:val="24"/>
          <w:szCs w:val="24"/>
        </w:rPr>
        <w:t>.</w:t>
      </w:r>
      <w:r w:rsidRPr="00231AD7">
        <w:rPr>
          <w:rFonts w:ascii="Arial" w:hAnsi="Arial" w:cs="Arial"/>
          <w:sz w:val="24"/>
          <w:lang w:val="en-US"/>
        </w:rPr>
        <w:t xml:space="preserve">   </w:t>
      </w:r>
    </w:p>
    <w:p w:rsidR="00A9534E" w:rsidRDefault="00A9534E" w:rsidP="00A9534E">
      <w:pPr>
        <w:pStyle w:val="HTMLpr-formatado"/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0381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Case </w:t>
      </w:r>
      <w:proofErr w:type="spellStart"/>
      <w:r w:rsidRPr="00203818">
        <w:rPr>
          <w:rFonts w:ascii="Arial" w:eastAsiaTheme="minorHAnsi" w:hAnsi="Arial" w:cs="Arial"/>
          <w:b/>
          <w:sz w:val="24"/>
          <w:szCs w:val="24"/>
          <w:lang w:eastAsia="en-US"/>
        </w:rPr>
        <w:t>report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>:</w:t>
      </w:r>
      <w:r w:rsidR="00016457" w:rsidRPr="00016457">
        <w:t xml:space="preserve"> </w:t>
      </w:r>
      <w:proofErr w:type="spellStart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>patientt</w:t>
      </w:r>
      <w:proofErr w:type="spellEnd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>was</w:t>
      </w:r>
      <w:proofErr w:type="spellEnd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 xml:space="preserve"> a 12-year-old male </w:t>
      </w:r>
      <w:proofErr w:type="spellStart"/>
      <w:r w:rsidR="00016457" w:rsidRPr="00016457">
        <w:rPr>
          <w:rFonts w:ascii="Arial" w:eastAsiaTheme="minorHAnsi" w:hAnsi="Arial" w:cs="Arial"/>
          <w:sz w:val="24"/>
          <w:szCs w:val="24"/>
          <w:lang w:eastAsia="en-US"/>
        </w:rPr>
        <w:t>admitted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in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paediatrics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’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emergency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department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with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intermitent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flank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pain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dysuria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abdominal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ultrassound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identified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nephrolithiasis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. Laboratorial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tests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showed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hypercalcemia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increased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serum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level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of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parathyroid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hormone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hypercalciuria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. A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primary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hyperparathyroidism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was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diagnosed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ultrassound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plus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scintigraphy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of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both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thyroid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parathyroid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glands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revealed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a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right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lower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parathyroid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adenoma. </w:t>
      </w:r>
      <w:r w:rsidRPr="002038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A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right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lower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parathyroidectomy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was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performed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with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regularization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of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calcium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parathyroid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hormone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levels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histopathology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revealed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main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cells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hyperplasia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genetic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testings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were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negative.</w:t>
      </w:r>
    </w:p>
    <w:p w:rsidR="00A9534E" w:rsidRPr="00203818" w:rsidRDefault="00A9534E" w:rsidP="00A9534E">
      <w:pPr>
        <w:pStyle w:val="HTMLpr-formatado"/>
        <w:shd w:val="clear" w:color="auto" w:fill="FFFFFF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203818">
        <w:rPr>
          <w:rFonts w:ascii="Arial" w:eastAsiaTheme="minorHAnsi" w:hAnsi="Arial" w:cs="Arial"/>
          <w:b/>
          <w:sz w:val="24"/>
          <w:szCs w:val="24"/>
          <w:lang w:eastAsia="en-US"/>
        </w:rPr>
        <w:t>Conclusion</w:t>
      </w:r>
      <w:proofErr w:type="spellEnd"/>
      <w:r w:rsidRPr="00203818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Primary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hyperparathyroidism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should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be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considered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in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the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differential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diagnosis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of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nephrolithiasis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to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allow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early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intervention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and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prevent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organ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203818">
        <w:rPr>
          <w:rFonts w:ascii="Arial" w:eastAsiaTheme="minorHAnsi" w:hAnsi="Arial" w:cs="Arial"/>
          <w:sz w:val="24"/>
          <w:szCs w:val="24"/>
          <w:lang w:eastAsia="en-US"/>
        </w:rPr>
        <w:t>damage</w:t>
      </w:r>
      <w:proofErr w:type="spellEnd"/>
      <w:r w:rsidRPr="0020381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727ED" w:rsidRPr="007727ED" w:rsidRDefault="007727ED" w:rsidP="007727ED">
      <w:pPr>
        <w:pStyle w:val="HTMLpr-formatado"/>
        <w:shd w:val="clear" w:color="auto" w:fill="FFFFFF"/>
        <w:rPr>
          <w:rFonts w:ascii="inherit" w:hAnsi="inherit"/>
          <w:color w:val="212121"/>
        </w:rPr>
      </w:pPr>
    </w:p>
    <w:p w:rsidR="00B814C0" w:rsidRDefault="007727ED" w:rsidP="00B814C0">
      <w:pPr>
        <w:pStyle w:val="HTMLpr-formatado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4"/>
        </w:rPr>
        <w:t xml:space="preserve"> </w:t>
      </w:r>
      <w:r w:rsidR="00B814C0">
        <w:rPr>
          <w:rFonts w:ascii="Arial" w:hAnsi="Arial" w:cs="Arial"/>
          <w:sz w:val="24"/>
        </w:rPr>
        <w:t xml:space="preserve"> </w:t>
      </w:r>
    </w:p>
    <w:p w:rsidR="00B814C0" w:rsidRPr="00B814C0" w:rsidRDefault="00B814C0" w:rsidP="00B814C0">
      <w:pPr>
        <w:pStyle w:val="HTMLpr-formatado"/>
        <w:shd w:val="clear" w:color="auto" w:fill="FFFFFF"/>
        <w:rPr>
          <w:rFonts w:ascii="inherit" w:hAnsi="inherit"/>
          <w:color w:val="212121"/>
        </w:rPr>
      </w:pPr>
    </w:p>
    <w:p w:rsidR="00A9534E" w:rsidRPr="00203818" w:rsidRDefault="009E5CD9" w:rsidP="00A9534E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6C3668">
        <w:rPr>
          <w:rFonts w:ascii="Arial" w:hAnsi="Arial" w:cs="Arial"/>
          <w:b/>
          <w:sz w:val="24"/>
        </w:rPr>
        <w:t>Key-words</w:t>
      </w:r>
      <w:proofErr w:type="spellEnd"/>
      <w:r w:rsidR="00A9534E" w:rsidRPr="00A9534E">
        <w:rPr>
          <w:rFonts w:ascii="Arial" w:hAnsi="Arial" w:cs="Arial"/>
          <w:sz w:val="24"/>
          <w:lang w:val="en-US"/>
        </w:rPr>
        <w:t xml:space="preserve"> </w:t>
      </w:r>
      <w:r w:rsidR="002C01F9" w:rsidRPr="00231AD7">
        <w:rPr>
          <w:rFonts w:ascii="Arial" w:hAnsi="Arial" w:cs="Arial"/>
          <w:sz w:val="24"/>
          <w:lang w:val="en-US"/>
        </w:rPr>
        <w:t>children</w:t>
      </w:r>
      <w:r w:rsidR="002C01F9">
        <w:rPr>
          <w:rFonts w:ascii="Arial" w:hAnsi="Arial" w:cs="Arial"/>
          <w:sz w:val="24"/>
          <w:lang w:val="en-US"/>
        </w:rPr>
        <w:t>,</w:t>
      </w:r>
      <w:r w:rsidR="002C01F9" w:rsidRPr="00231AD7">
        <w:rPr>
          <w:rFonts w:ascii="Arial" w:hAnsi="Arial" w:cs="Arial"/>
          <w:sz w:val="24"/>
          <w:lang w:val="en-US"/>
        </w:rPr>
        <w:t xml:space="preserve"> </w:t>
      </w:r>
      <w:r w:rsidR="002C01F9">
        <w:rPr>
          <w:rFonts w:ascii="Arial" w:hAnsi="Arial" w:cs="Arial"/>
          <w:sz w:val="24"/>
          <w:lang w:val="en-US"/>
        </w:rPr>
        <w:t>hypercalcemia,</w:t>
      </w:r>
      <w:r w:rsidR="002C01F9" w:rsidRPr="00231AD7">
        <w:rPr>
          <w:rFonts w:ascii="Arial" w:hAnsi="Arial" w:cs="Arial"/>
          <w:sz w:val="24"/>
          <w:lang w:val="en-US"/>
        </w:rPr>
        <w:t xml:space="preserve"> </w:t>
      </w:r>
      <w:r w:rsidR="00A9534E" w:rsidRPr="00231AD7">
        <w:rPr>
          <w:rFonts w:ascii="Arial" w:hAnsi="Arial" w:cs="Arial"/>
          <w:sz w:val="24"/>
          <w:lang w:val="en-US"/>
        </w:rPr>
        <w:t>Primary hyperparathyroidism,</w:t>
      </w:r>
      <w:r w:rsidR="002C01F9">
        <w:rPr>
          <w:rFonts w:ascii="Arial" w:hAnsi="Arial" w:cs="Arial"/>
          <w:sz w:val="24"/>
          <w:lang w:val="en-US"/>
        </w:rPr>
        <w:t xml:space="preserve"> nephrolithiasis</w:t>
      </w:r>
    </w:p>
    <w:p w:rsidR="006E14C2" w:rsidRPr="006E14C2" w:rsidRDefault="006E14C2" w:rsidP="00A9534E">
      <w:pPr>
        <w:pStyle w:val="HTMLpr-formatado"/>
        <w:shd w:val="clear" w:color="auto" w:fill="FFFFFF"/>
        <w:spacing w:line="360" w:lineRule="auto"/>
        <w:jc w:val="both"/>
        <w:rPr>
          <w:rFonts w:ascii="Arial" w:hAnsi="Arial" w:cs="Arial"/>
          <w:sz w:val="24"/>
        </w:rPr>
      </w:pPr>
    </w:p>
    <w:p w:rsidR="006E14C2" w:rsidRDefault="006E14C2" w:rsidP="000F15DA">
      <w:pPr>
        <w:spacing w:after="0"/>
        <w:jc w:val="both"/>
        <w:rPr>
          <w:b/>
        </w:rPr>
      </w:pPr>
    </w:p>
    <w:p w:rsidR="009E5CD9" w:rsidRDefault="009E5CD9">
      <w:pPr>
        <w:rPr>
          <w:b/>
        </w:rPr>
      </w:pPr>
      <w:r>
        <w:rPr>
          <w:b/>
        </w:rPr>
        <w:br w:type="page"/>
      </w:r>
    </w:p>
    <w:p w:rsidR="001E5525" w:rsidRDefault="001E5525" w:rsidP="009832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4.</w:t>
      </w:r>
    </w:p>
    <w:p w:rsidR="0095257F" w:rsidRPr="0098325E" w:rsidRDefault="0095257F" w:rsidP="009832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325E">
        <w:rPr>
          <w:rFonts w:ascii="Arial" w:hAnsi="Arial" w:cs="Arial"/>
          <w:b/>
          <w:sz w:val="24"/>
          <w:szCs w:val="24"/>
        </w:rPr>
        <w:t>Introdução</w:t>
      </w:r>
    </w:p>
    <w:p w:rsidR="0095257F" w:rsidRPr="00362182" w:rsidRDefault="0095257F" w:rsidP="00983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2182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62182">
        <w:rPr>
          <w:rFonts w:ascii="Arial" w:hAnsi="Arial" w:cs="Arial"/>
          <w:sz w:val="24"/>
          <w:szCs w:val="24"/>
        </w:rPr>
        <w:t>hiperparatiroidismo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 primário (HPTP) define-se como uma alteração primária das glândulas </w:t>
      </w:r>
      <w:proofErr w:type="spellStart"/>
      <w:r w:rsidRPr="00362182">
        <w:rPr>
          <w:rFonts w:ascii="Arial" w:hAnsi="Arial" w:cs="Arial"/>
          <w:sz w:val="24"/>
          <w:szCs w:val="24"/>
        </w:rPr>
        <w:t>paratiroideias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 que condiciona uma produção excessiva de hormona </w:t>
      </w:r>
      <w:proofErr w:type="spellStart"/>
      <w:r w:rsidRPr="00362182">
        <w:rPr>
          <w:rFonts w:ascii="Arial" w:hAnsi="Arial" w:cs="Arial"/>
          <w:sz w:val="24"/>
          <w:szCs w:val="24"/>
        </w:rPr>
        <w:t>paratiroideia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362182">
        <w:rPr>
          <w:rFonts w:ascii="Arial" w:hAnsi="Arial" w:cs="Arial"/>
          <w:sz w:val="24"/>
          <w:szCs w:val="24"/>
        </w:rPr>
        <w:t>PTH)</w:t>
      </w:r>
      <w:r w:rsidR="00924314" w:rsidRPr="00362182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="006C3668" w:rsidRPr="00362182">
        <w:rPr>
          <w:rFonts w:ascii="Arial" w:hAnsi="Arial" w:cs="Arial"/>
          <w:sz w:val="24"/>
          <w:szCs w:val="24"/>
          <w:vertAlign w:val="superscript"/>
        </w:rPr>
        <w:t>,2</w:t>
      </w:r>
      <w:r w:rsidRPr="00362182">
        <w:rPr>
          <w:rFonts w:ascii="Arial" w:hAnsi="Arial" w:cs="Arial"/>
          <w:sz w:val="24"/>
          <w:szCs w:val="24"/>
        </w:rPr>
        <w:t xml:space="preserve">. Constitui uma doença rara na idade pediátrica, com uma incidência </w:t>
      </w:r>
      <w:r w:rsidR="00742BC8" w:rsidRPr="00362182">
        <w:rPr>
          <w:rFonts w:ascii="Arial" w:hAnsi="Arial" w:cs="Arial"/>
          <w:sz w:val="24"/>
          <w:szCs w:val="24"/>
        </w:rPr>
        <w:t xml:space="preserve">anual </w:t>
      </w:r>
      <w:r w:rsidRPr="00362182">
        <w:rPr>
          <w:rFonts w:ascii="Arial" w:hAnsi="Arial" w:cs="Arial"/>
          <w:sz w:val="24"/>
          <w:szCs w:val="24"/>
        </w:rPr>
        <w:t>estimada em 2 a 5 por 100</w:t>
      </w:r>
      <w:r w:rsidR="00742BC8" w:rsidRPr="00362182">
        <w:rPr>
          <w:rFonts w:ascii="Arial" w:hAnsi="Arial" w:cs="Arial"/>
          <w:sz w:val="24"/>
          <w:szCs w:val="24"/>
        </w:rPr>
        <w:t>.000 crianças</w:t>
      </w:r>
      <w:r w:rsidR="00362182">
        <w:rPr>
          <w:rFonts w:ascii="Arial" w:hAnsi="Arial" w:cs="Arial"/>
          <w:sz w:val="24"/>
          <w:szCs w:val="24"/>
          <w:vertAlign w:val="superscript"/>
        </w:rPr>
        <w:t>1-5</w:t>
      </w:r>
      <w:r w:rsidRPr="007A49C5">
        <w:rPr>
          <w:rFonts w:ascii="Arial" w:hAnsi="Arial" w:cs="Arial"/>
          <w:sz w:val="24"/>
          <w:szCs w:val="24"/>
        </w:rPr>
        <w:t xml:space="preserve">. </w:t>
      </w:r>
      <w:r w:rsidR="006275E4" w:rsidRPr="007A49C5">
        <w:rPr>
          <w:rFonts w:ascii="Arial" w:hAnsi="Arial" w:cs="Arial"/>
          <w:sz w:val="24"/>
          <w:szCs w:val="24"/>
        </w:rPr>
        <w:t xml:space="preserve">Em </w:t>
      </w:r>
      <w:r w:rsidR="006A5379" w:rsidRPr="007A49C5">
        <w:rPr>
          <w:rFonts w:ascii="Arial" w:hAnsi="Arial" w:cs="Arial"/>
          <w:sz w:val="24"/>
          <w:szCs w:val="24"/>
        </w:rPr>
        <w:t>cerca de</w:t>
      </w:r>
      <w:r w:rsidR="007A49C5" w:rsidRPr="007A49C5">
        <w:rPr>
          <w:rFonts w:ascii="Arial" w:hAnsi="Arial" w:cs="Arial"/>
          <w:sz w:val="24"/>
          <w:szCs w:val="24"/>
        </w:rPr>
        <w:t xml:space="preserve"> 65 a</w:t>
      </w:r>
      <w:r w:rsidR="006A5379" w:rsidRPr="007A49C5">
        <w:rPr>
          <w:rFonts w:ascii="Arial" w:hAnsi="Arial" w:cs="Arial"/>
          <w:sz w:val="24"/>
          <w:szCs w:val="24"/>
        </w:rPr>
        <w:t xml:space="preserve"> </w:t>
      </w:r>
      <w:r w:rsidR="007A49C5" w:rsidRPr="007A49C5">
        <w:rPr>
          <w:rFonts w:ascii="Arial" w:hAnsi="Arial" w:cs="Arial"/>
          <w:sz w:val="24"/>
          <w:szCs w:val="24"/>
        </w:rPr>
        <w:t>70</w:t>
      </w:r>
      <w:r w:rsidR="006A5379" w:rsidRPr="007A49C5">
        <w:rPr>
          <w:rFonts w:ascii="Arial" w:hAnsi="Arial" w:cs="Arial"/>
          <w:sz w:val="24"/>
          <w:szCs w:val="24"/>
        </w:rPr>
        <w:t>% dos casos é esporádico associado à presença de um adenoma</w:t>
      </w:r>
      <w:r w:rsidR="007A49C5" w:rsidRPr="007A49C5">
        <w:rPr>
          <w:rFonts w:ascii="Arial" w:hAnsi="Arial" w:cs="Arial"/>
          <w:sz w:val="24"/>
          <w:szCs w:val="24"/>
        </w:rPr>
        <w:t xml:space="preserve"> </w:t>
      </w:r>
      <w:r w:rsidR="006A5379" w:rsidRPr="00FC78A9">
        <w:rPr>
          <w:rFonts w:ascii="Arial" w:hAnsi="Arial" w:cs="Arial"/>
          <w:sz w:val="24"/>
          <w:szCs w:val="24"/>
          <w:vertAlign w:val="superscript"/>
        </w:rPr>
        <w:t>2</w:t>
      </w:r>
      <w:r w:rsidR="007A49C5" w:rsidRPr="00FC78A9">
        <w:rPr>
          <w:rFonts w:ascii="Arial" w:hAnsi="Arial" w:cs="Arial"/>
          <w:sz w:val="24"/>
          <w:szCs w:val="24"/>
          <w:vertAlign w:val="superscript"/>
        </w:rPr>
        <w:t>,4</w:t>
      </w:r>
      <w:r w:rsidR="007A49C5" w:rsidRPr="007A49C5">
        <w:rPr>
          <w:rFonts w:ascii="Arial" w:hAnsi="Arial" w:cs="Arial"/>
          <w:sz w:val="24"/>
          <w:szCs w:val="24"/>
        </w:rPr>
        <w:t>.</w:t>
      </w:r>
      <w:r w:rsidRPr="00016457">
        <w:rPr>
          <w:rFonts w:ascii="Arial" w:hAnsi="Arial" w:cs="Arial"/>
          <w:color w:val="FF0000"/>
          <w:sz w:val="24"/>
          <w:szCs w:val="24"/>
        </w:rPr>
        <w:t xml:space="preserve"> </w:t>
      </w:r>
      <w:r w:rsidRPr="00362182">
        <w:rPr>
          <w:rFonts w:ascii="Arial" w:hAnsi="Arial" w:cs="Arial"/>
          <w:sz w:val="24"/>
          <w:szCs w:val="24"/>
        </w:rPr>
        <w:t xml:space="preserve">Outras etiologias são a hiperplasia das glândulas </w:t>
      </w:r>
      <w:proofErr w:type="spellStart"/>
      <w:r w:rsidRPr="00362182">
        <w:rPr>
          <w:rFonts w:ascii="Arial" w:hAnsi="Arial" w:cs="Arial"/>
          <w:sz w:val="24"/>
          <w:szCs w:val="24"/>
        </w:rPr>
        <w:t>paratiroideias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, a neoplasia endócrina múltipla (síndromes MEN 1 e 2A), o </w:t>
      </w:r>
      <w:proofErr w:type="spellStart"/>
      <w:r w:rsidRPr="00362182">
        <w:rPr>
          <w:rFonts w:ascii="Arial" w:hAnsi="Arial" w:cs="Arial"/>
          <w:sz w:val="24"/>
          <w:szCs w:val="24"/>
        </w:rPr>
        <w:t>hiperparatiroidismo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 familiar não-MEN, </w:t>
      </w:r>
      <w:r w:rsidR="00C03FA8" w:rsidRPr="00362182">
        <w:rPr>
          <w:rFonts w:ascii="Arial" w:hAnsi="Arial" w:cs="Arial"/>
          <w:sz w:val="24"/>
          <w:szCs w:val="24"/>
        </w:rPr>
        <w:t>a</w:t>
      </w:r>
      <w:r w:rsidRPr="00362182">
        <w:rPr>
          <w:rFonts w:ascii="Arial" w:hAnsi="Arial" w:cs="Arial"/>
          <w:sz w:val="24"/>
          <w:szCs w:val="24"/>
        </w:rPr>
        <w:t xml:space="preserve"> síndrome do tumor da mandíbula associado ao </w:t>
      </w:r>
      <w:proofErr w:type="spellStart"/>
      <w:r w:rsidRPr="00362182">
        <w:rPr>
          <w:rFonts w:ascii="Arial" w:hAnsi="Arial" w:cs="Arial"/>
          <w:sz w:val="24"/>
          <w:szCs w:val="24"/>
        </w:rPr>
        <w:t>hiperparatiroidismo</w:t>
      </w:r>
      <w:proofErr w:type="spellEnd"/>
      <w:r w:rsidRPr="00362182">
        <w:rPr>
          <w:rFonts w:ascii="Arial" w:hAnsi="Arial" w:cs="Arial"/>
          <w:sz w:val="24"/>
          <w:szCs w:val="24"/>
        </w:rPr>
        <w:t xml:space="preserve"> e muito raramente o </w:t>
      </w:r>
      <w:r w:rsidR="006275E4" w:rsidRPr="00362182">
        <w:rPr>
          <w:rFonts w:ascii="Arial" w:hAnsi="Arial" w:cs="Arial"/>
          <w:sz w:val="24"/>
          <w:szCs w:val="24"/>
        </w:rPr>
        <w:t>carcinoma</w:t>
      </w:r>
      <w:r w:rsidR="00EE6E19" w:rsidRPr="00362182">
        <w:rPr>
          <w:rFonts w:ascii="Arial" w:hAnsi="Arial" w:cs="Arial"/>
          <w:sz w:val="24"/>
          <w:szCs w:val="24"/>
          <w:vertAlign w:val="superscript"/>
        </w:rPr>
        <w:t>1</w:t>
      </w:r>
      <w:r w:rsidR="00362182" w:rsidRPr="00362182">
        <w:rPr>
          <w:rFonts w:ascii="Arial" w:hAnsi="Arial" w:cs="Arial"/>
          <w:sz w:val="24"/>
          <w:szCs w:val="24"/>
          <w:vertAlign w:val="superscript"/>
        </w:rPr>
        <w:t>-</w:t>
      </w:r>
      <w:r w:rsidR="00A56207" w:rsidRPr="00362182">
        <w:rPr>
          <w:rFonts w:ascii="Arial" w:hAnsi="Arial" w:cs="Arial"/>
          <w:sz w:val="24"/>
          <w:szCs w:val="24"/>
          <w:vertAlign w:val="superscript"/>
        </w:rPr>
        <w:t>2,</w:t>
      </w:r>
      <w:r w:rsidR="006C3668" w:rsidRPr="00362182">
        <w:rPr>
          <w:rFonts w:ascii="Arial" w:hAnsi="Arial" w:cs="Arial"/>
          <w:sz w:val="24"/>
          <w:szCs w:val="24"/>
          <w:vertAlign w:val="superscript"/>
        </w:rPr>
        <w:t>4</w:t>
      </w:r>
      <w:r w:rsidR="006275E4" w:rsidRPr="00362182">
        <w:rPr>
          <w:rFonts w:ascii="Arial" w:hAnsi="Arial" w:cs="Arial"/>
          <w:sz w:val="24"/>
          <w:szCs w:val="24"/>
        </w:rPr>
        <w:t>. Com este caso</w:t>
      </w:r>
      <w:r w:rsidRPr="00362182">
        <w:rPr>
          <w:rFonts w:ascii="Arial" w:hAnsi="Arial" w:cs="Arial"/>
          <w:sz w:val="24"/>
          <w:szCs w:val="24"/>
        </w:rPr>
        <w:t>, os autores pretendem alertar para esta entidade</w:t>
      </w:r>
      <w:r w:rsidR="00356C7E" w:rsidRPr="00362182">
        <w:rPr>
          <w:rFonts w:ascii="Arial" w:hAnsi="Arial" w:cs="Arial"/>
          <w:sz w:val="24"/>
          <w:szCs w:val="24"/>
        </w:rPr>
        <w:t>,</w:t>
      </w:r>
      <w:r w:rsidRPr="00362182">
        <w:rPr>
          <w:rFonts w:ascii="Arial" w:hAnsi="Arial" w:cs="Arial"/>
          <w:sz w:val="24"/>
          <w:szCs w:val="24"/>
        </w:rPr>
        <w:t xml:space="preserve"> uma vez que o diagnóstico e a terapêutica precoces são determinantes na prevenção de lesão de órgão-alvo.</w:t>
      </w:r>
    </w:p>
    <w:p w:rsidR="000F15DA" w:rsidRPr="0098325E" w:rsidRDefault="000F15DA" w:rsidP="009832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5257F" w:rsidRPr="0098325E" w:rsidRDefault="00742BC8" w:rsidP="0098325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325E">
        <w:rPr>
          <w:rFonts w:ascii="Arial" w:hAnsi="Arial" w:cs="Arial"/>
          <w:b/>
          <w:sz w:val="24"/>
          <w:szCs w:val="24"/>
        </w:rPr>
        <w:t xml:space="preserve">Caso clínico </w:t>
      </w:r>
    </w:p>
    <w:p w:rsidR="0095257F" w:rsidRPr="0098325E" w:rsidRDefault="00016457" w:rsidP="00983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6457">
        <w:rPr>
          <w:rFonts w:ascii="Arial" w:hAnsi="Arial" w:cs="Arial"/>
          <w:sz w:val="24"/>
          <w:szCs w:val="24"/>
        </w:rPr>
        <w:t>O doente era um adolescente de 12 anos sexo masculino</w:t>
      </w:r>
      <w:r w:rsidR="0095257F" w:rsidRPr="0098325E">
        <w:rPr>
          <w:rFonts w:ascii="Arial" w:hAnsi="Arial" w:cs="Arial"/>
          <w:sz w:val="24"/>
          <w:szCs w:val="24"/>
        </w:rPr>
        <w:t>, sem antecedentes pessoais ou familiares relevantes. Observado na urgência pediátrica por l</w:t>
      </w:r>
      <w:r w:rsidR="006275E4" w:rsidRPr="0098325E">
        <w:rPr>
          <w:rFonts w:ascii="Arial" w:hAnsi="Arial" w:cs="Arial"/>
          <w:sz w:val="24"/>
          <w:szCs w:val="24"/>
        </w:rPr>
        <w:t>ombalgia esquerda, tipo cólica, s</w:t>
      </w:r>
      <w:r w:rsidR="0095257F" w:rsidRPr="0098325E">
        <w:rPr>
          <w:rFonts w:ascii="Arial" w:hAnsi="Arial" w:cs="Arial"/>
          <w:sz w:val="24"/>
          <w:szCs w:val="24"/>
        </w:rPr>
        <w:t>em irradiação e sem fato</w:t>
      </w:r>
      <w:r w:rsidR="006275E4" w:rsidRPr="0098325E">
        <w:rPr>
          <w:rFonts w:ascii="Arial" w:hAnsi="Arial" w:cs="Arial"/>
          <w:sz w:val="24"/>
          <w:szCs w:val="24"/>
        </w:rPr>
        <w:t>res de alívio ou de agravamento,</w:t>
      </w:r>
      <w:r w:rsidR="0095257F" w:rsidRPr="0098325E">
        <w:rPr>
          <w:rFonts w:ascii="Arial" w:hAnsi="Arial" w:cs="Arial"/>
          <w:sz w:val="24"/>
          <w:szCs w:val="24"/>
        </w:rPr>
        <w:t xml:space="preserve"> associada a disúria, com 24 horas de evolução. Referia </w:t>
      </w:r>
      <w:r w:rsidR="005E581B">
        <w:rPr>
          <w:rFonts w:ascii="Arial" w:hAnsi="Arial" w:cs="Arial"/>
          <w:sz w:val="24"/>
          <w:szCs w:val="24"/>
        </w:rPr>
        <w:t xml:space="preserve">ainda </w:t>
      </w:r>
      <w:r w:rsidR="0095257F" w:rsidRPr="0098325E">
        <w:rPr>
          <w:rFonts w:ascii="Arial" w:hAnsi="Arial" w:cs="Arial"/>
          <w:sz w:val="24"/>
          <w:szCs w:val="24"/>
        </w:rPr>
        <w:t xml:space="preserve">história de início 3 meses antes de astenia, fraqueza muscular e cefaleia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holocraniana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.</w:t>
      </w:r>
      <w:r w:rsidR="00B21823" w:rsidRPr="0098325E">
        <w:rPr>
          <w:rFonts w:ascii="Arial" w:hAnsi="Arial" w:cs="Arial"/>
          <w:sz w:val="24"/>
          <w:szCs w:val="24"/>
        </w:rPr>
        <w:t xml:space="preserve"> Negava febre, </w:t>
      </w:r>
      <w:r w:rsidR="0036287E" w:rsidRPr="0098325E">
        <w:rPr>
          <w:rFonts w:ascii="Arial" w:hAnsi="Arial" w:cs="Arial"/>
          <w:sz w:val="24"/>
          <w:szCs w:val="24"/>
        </w:rPr>
        <w:t xml:space="preserve">traumatismo, </w:t>
      </w:r>
      <w:r w:rsidR="00B21823" w:rsidRPr="0098325E">
        <w:rPr>
          <w:rFonts w:ascii="Arial" w:hAnsi="Arial" w:cs="Arial"/>
          <w:sz w:val="24"/>
          <w:szCs w:val="24"/>
        </w:rPr>
        <w:t>vómitos ou outra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r w:rsidR="00B21823" w:rsidRPr="0098325E">
        <w:rPr>
          <w:rFonts w:ascii="Arial" w:hAnsi="Arial" w:cs="Arial"/>
          <w:sz w:val="24"/>
          <w:szCs w:val="24"/>
        </w:rPr>
        <w:t>sintomatologia urinária</w:t>
      </w:r>
      <w:r w:rsidR="0095257F" w:rsidRPr="0098325E">
        <w:rPr>
          <w:rFonts w:ascii="Arial" w:hAnsi="Arial" w:cs="Arial"/>
          <w:sz w:val="24"/>
          <w:szCs w:val="24"/>
        </w:rPr>
        <w:t xml:space="preserve">, nomeadamente </w:t>
      </w:r>
      <w:r w:rsidR="006275E4" w:rsidRPr="0098325E">
        <w:rPr>
          <w:rFonts w:ascii="Arial" w:hAnsi="Arial" w:cs="Arial"/>
          <w:sz w:val="24"/>
          <w:szCs w:val="24"/>
        </w:rPr>
        <w:t>hematú</w:t>
      </w:r>
      <w:r w:rsidR="0095257F" w:rsidRPr="0098325E">
        <w:rPr>
          <w:rFonts w:ascii="Arial" w:hAnsi="Arial" w:cs="Arial"/>
          <w:sz w:val="24"/>
          <w:szCs w:val="24"/>
        </w:rPr>
        <w:t>ria macroscópica. Ao exame objetivo</w:t>
      </w:r>
      <w:r w:rsidR="006275E4" w:rsidRPr="0098325E">
        <w:rPr>
          <w:rFonts w:ascii="Arial" w:hAnsi="Arial" w:cs="Arial"/>
          <w:sz w:val="24"/>
          <w:szCs w:val="24"/>
        </w:rPr>
        <w:t xml:space="preserve"> salientava-se</w:t>
      </w:r>
      <w:r w:rsidR="0095257F" w:rsidRPr="0098325E">
        <w:rPr>
          <w:rFonts w:ascii="Arial" w:hAnsi="Arial" w:cs="Arial"/>
          <w:sz w:val="24"/>
          <w:szCs w:val="24"/>
        </w:rPr>
        <w:t xml:space="preserve"> abdómen depressível, indolor à palpação e </w:t>
      </w:r>
      <w:r w:rsidR="00D82EA8" w:rsidRPr="0098325E">
        <w:rPr>
          <w:rFonts w:ascii="Arial" w:hAnsi="Arial" w:cs="Arial"/>
          <w:sz w:val="24"/>
          <w:szCs w:val="24"/>
        </w:rPr>
        <w:t>sinal de M</w:t>
      </w:r>
      <w:r w:rsidR="0095257F" w:rsidRPr="0098325E">
        <w:rPr>
          <w:rFonts w:ascii="Arial" w:hAnsi="Arial" w:cs="Arial"/>
          <w:sz w:val="24"/>
          <w:szCs w:val="24"/>
        </w:rPr>
        <w:t>urphy</w:t>
      </w:r>
      <w:r w:rsidR="0095257F" w:rsidRPr="0098325E">
        <w:rPr>
          <w:rFonts w:ascii="Arial" w:hAnsi="Arial" w:cs="Arial"/>
          <w:color w:val="FF0000"/>
          <w:sz w:val="24"/>
          <w:szCs w:val="24"/>
        </w:rPr>
        <w:t xml:space="preserve"> </w:t>
      </w:r>
      <w:r w:rsidR="0095257F" w:rsidRPr="0098325E">
        <w:rPr>
          <w:rFonts w:ascii="Arial" w:hAnsi="Arial" w:cs="Arial"/>
          <w:sz w:val="24"/>
          <w:szCs w:val="24"/>
        </w:rPr>
        <w:t xml:space="preserve">renal duvidoso à esquerda. </w:t>
      </w:r>
      <w:r>
        <w:rPr>
          <w:rFonts w:ascii="Arial" w:hAnsi="Arial" w:cs="Arial"/>
          <w:sz w:val="24"/>
          <w:szCs w:val="24"/>
        </w:rPr>
        <w:t xml:space="preserve">A análise sumária de urina </w:t>
      </w:r>
      <w:r w:rsidR="0095257F" w:rsidRPr="0098325E">
        <w:rPr>
          <w:rFonts w:ascii="Arial" w:hAnsi="Arial" w:cs="Arial"/>
          <w:sz w:val="24"/>
          <w:szCs w:val="24"/>
        </w:rPr>
        <w:t xml:space="preserve">evidenciou hematúria microscópica, sem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nitritúria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leucocitúria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.</w:t>
      </w:r>
      <w:r w:rsidR="00D30FE4" w:rsidRPr="0098325E">
        <w:rPr>
          <w:rFonts w:ascii="Arial" w:hAnsi="Arial" w:cs="Arial"/>
          <w:sz w:val="24"/>
          <w:szCs w:val="24"/>
        </w:rPr>
        <w:t xml:space="preserve"> </w:t>
      </w:r>
      <w:r w:rsidR="005E581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E581B">
        <w:rPr>
          <w:rFonts w:ascii="Arial" w:hAnsi="Arial" w:cs="Arial"/>
          <w:sz w:val="24"/>
          <w:szCs w:val="24"/>
        </w:rPr>
        <w:t>u</w:t>
      </w:r>
      <w:r w:rsidR="00D30FE4" w:rsidRPr="0098325E">
        <w:rPr>
          <w:rFonts w:ascii="Arial" w:hAnsi="Arial" w:cs="Arial"/>
          <w:sz w:val="24"/>
          <w:szCs w:val="24"/>
        </w:rPr>
        <w:t>rocultura</w:t>
      </w:r>
      <w:proofErr w:type="spellEnd"/>
      <w:r w:rsidR="005E581B">
        <w:rPr>
          <w:rFonts w:ascii="Arial" w:hAnsi="Arial" w:cs="Arial"/>
          <w:sz w:val="24"/>
          <w:szCs w:val="24"/>
        </w:rPr>
        <w:t xml:space="preserve"> foi</w:t>
      </w:r>
      <w:r w:rsidR="00D30FE4" w:rsidRPr="0098325E">
        <w:rPr>
          <w:rFonts w:ascii="Arial" w:hAnsi="Arial" w:cs="Arial"/>
          <w:sz w:val="24"/>
          <w:szCs w:val="24"/>
        </w:rPr>
        <w:t xml:space="preserve"> negativa.</w:t>
      </w:r>
      <w:r w:rsidR="006275E4"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75E4" w:rsidRPr="0098325E">
        <w:rPr>
          <w:rFonts w:ascii="Arial" w:hAnsi="Arial" w:cs="Arial"/>
          <w:sz w:val="24"/>
          <w:szCs w:val="24"/>
        </w:rPr>
        <w:t>A</w:t>
      </w:r>
      <w:proofErr w:type="gramEnd"/>
      <w:r w:rsidR="006275E4"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75E4" w:rsidRPr="0098325E">
        <w:rPr>
          <w:rFonts w:ascii="Arial" w:hAnsi="Arial" w:cs="Arial"/>
          <w:sz w:val="24"/>
          <w:szCs w:val="24"/>
        </w:rPr>
        <w:t>e</w:t>
      </w:r>
      <w:r w:rsidR="0095257F" w:rsidRPr="0098325E">
        <w:rPr>
          <w:rFonts w:ascii="Arial" w:hAnsi="Arial" w:cs="Arial"/>
          <w:sz w:val="24"/>
          <w:szCs w:val="24"/>
        </w:rPr>
        <w:t>cografia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57F" w:rsidRPr="0098325E">
        <w:rPr>
          <w:rFonts w:ascii="Arial" w:hAnsi="Arial" w:cs="Arial"/>
          <w:sz w:val="24"/>
          <w:szCs w:val="24"/>
        </w:rPr>
        <w:t>renal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95257F" w:rsidRPr="0098325E">
        <w:rPr>
          <w:rFonts w:ascii="Arial" w:hAnsi="Arial" w:cs="Arial"/>
          <w:sz w:val="24"/>
          <w:szCs w:val="24"/>
        </w:rPr>
        <w:t>vesical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revelou rins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normodimensionados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ecoestrutura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conservada e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microlitíase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renal bilateral com </w:t>
      </w:r>
      <w:r w:rsidR="00A23E4B" w:rsidRPr="0098325E">
        <w:rPr>
          <w:rFonts w:ascii="Arial" w:hAnsi="Arial" w:cs="Arial"/>
          <w:sz w:val="24"/>
          <w:szCs w:val="24"/>
        </w:rPr>
        <w:t xml:space="preserve">cálculo </w:t>
      </w:r>
      <w:r w:rsidR="0095257F" w:rsidRPr="0098325E">
        <w:rPr>
          <w:rFonts w:ascii="Arial" w:hAnsi="Arial" w:cs="Arial"/>
          <w:sz w:val="24"/>
          <w:szCs w:val="24"/>
        </w:rPr>
        <w:t xml:space="preserve">de 3 mm de diâmetro </w:t>
      </w:r>
      <w:r w:rsidR="006275E4" w:rsidRPr="0098325E">
        <w:rPr>
          <w:rFonts w:ascii="Arial" w:hAnsi="Arial" w:cs="Arial"/>
          <w:sz w:val="24"/>
          <w:szCs w:val="24"/>
        </w:rPr>
        <w:t>no</w:t>
      </w:r>
      <w:r w:rsidR="0095257F" w:rsidRPr="0098325E">
        <w:rPr>
          <w:rFonts w:ascii="Arial" w:hAnsi="Arial" w:cs="Arial"/>
          <w:sz w:val="24"/>
          <w:szCs w:val="24"/>
        </w:rPr>
        <w:t xml:space="preserve"> grupo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calicial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superior do rim esquerdo. Admitido o diagnóstico de litíase renal fez analgesia com melhoria clínica e teve a</w:t>
      </w:r>
      <w:r w:rsidR="00BC74AA" w:rsidRPr="0098325E">
        <w:rPr>
          <w:rFonts w:ascii="Arial" w:hAnsi="Arial" w:cs="Arial"/>
          <w:sz w:val="24"/>
          <w:szCs w:val="24"/>
        </w:rPr>
        <w:t>lta referenciado à Consulta de Nefrologia P</w:t>
      </w:r>
      <w:r w:rsidR="0095257F" w:rsidRPr="0098325E">
        <w:rPr>
          <w:rFonts w:ascii="Arial" w:hAnsi="Arial" w:cs="Arial"/>
          <w:sz w:val="24"/>
          <w:szCs w:val="24"/>
        </w:rPr>
        <w:t>ediátrica</w:t>
      </w:r>
      <w:r w:rsidR="006275E4" w:rsidRPr="0098325E">
        <w:rPr>
          <w:rFonts w:ascii="Arial" w:hAnsi="Arial" w:cs="Arial"/>
          <w:sz w:val="24"/>
          <w:szCs w:val="24"/>
        </w:rPr>
        <w:t>.</w:t>
      </w:r>
      <w:r w:rsidR="0095257F" w:rsidRPr="0098325E">
        <w:rPr>
          <w:rFonts w:ascii="Arial" w:hAnsi="Arial" w:cs="Arial"/>
          <w:sz w:val="24"/>
          <w:szCs w:val="24"/>
        </w:rPr>
        <w:t xml:space="preserve"> Da avaliação laboratorial complementar realizada (Tabela 1) destacava-se elevação da PTH </w:t>
      </w:r>
      <w:r w:rsidR="00A7090A" w:rsidRPr="0098325E">
        <w:rPr>
          <w:rFonts w:ascii="Arial" w:hAnsi="Arial" w:cs="Arial"/>
          <w:sz w:val="24"/>
          <w:szCs w:val="24"/>
        </w:rPr>
        <w:t>199,7pg/</w:t>
      </w:r>
      <w:proofErr w:type="spellStart"/>
      <w:r w:rsidR="00A7090A" w:rsidRPr="0098325E">
        <w:rPr>
          <w:rFonts w:ascii="Arial" w:hAnsi="Arial" w:cs="Arial"/>
          <w:sz w:val="24"/>
          <w:szCs w:val="24"/>
        </w:rPr>
        <w:t>mL</w:t>
      </w:r>
      <w:proofErr w:type="spellEnd"/>
      <w:r w:rsidR="00A7090A" w:rsidRPr="0098325E">
        <w:rPr>
          <w:rFonts w:ascii="Arial" w:hAnsi="Arial" w:cs="Arial"/>
          <w:sz w:val="24"/>
          <w:szCs w:val="24"/>
        </w:rPr>
        <w:t xml:space="preserve"> </w:t>
      </w:r>
      <w:r w:rsidR="00794AF1" w:rsidRPr="0098325E">
        <w:rPr>
          <w:rFonts w:ascii="Arial" w:hAnsi="Arial" w:cs="Arial"/>
          <w:sz w:val="24"/>
          <w:szCs w:val="24"/>
        </w:rPr>
        <w:t>(</w:t>
      </w:r>
      <w:r w:rsidR="0095257F" w:rsidRPr="0098325E">
        <w:rPr>
          <w:rFonts w:ascii="Arial" w:hAnsi="Arial" w:cs="Arial"/>
          <w:sz w:val="24"/>
          <w:szCs w:val="24"/>
        </w:rPr>
        <w:t xml:space="preserve">valor </w:t>
      </w:r>
      <w:r w:rsidR="00A7090A" w:rsidRPr="0098325E">
        <w:rPr>
          <w:rFonts w:ascii="Arial" w:hAnsi="Arial" w:cs="Arial"/>
          <w:sz w:val="24"/>
          <w:szCs w:val="24"/>
        </w:rPr>
        <w:t xml:space="preserve">de </w:t>
      </w:r>
      <w:r w:rsidR="0095257F" w:rsidRPr="0098325E">
        <w:rPr>
          <w:rFonts w:ascii="Arial" w:hAnsi="Arial" w:cs="Arial"/>
          <w:sz w:val="24"/>
          <w:szCs w:val="24"/>
        </w:rPr>
        <w:t>referência</w:t>
      </w:r>
      <w:r w:rsidR="00A7090A" w:rsidRPr="0098325E">
        <w:rPr>
          <w:rFonts w:ascii="Arial" w:hAnsi="Arial" w:cs="Arial"/>
          <w:sz w:val="24"/>
          <w:szCs w:val="24"/>
        </w:rPr>
        <w:t xml:space="preserve"> - VR: </w:t>
      </w:r>
      <w:r w:rsidR="0095257F" w:rsidRPr="0098325E">
        <w:rPr>
          <w:rFonts w:ascii="Arial" w:hAnsi="Arial" w:cs="Arial"/>
          <w:sz w:val="24"/>
          <w:szCs w:val="24"/>
        </w:rPr>
        <w:t>15-65pg/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hipercalcémia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</w:t>
      </w:r>
      <w:r w:rsidR="00A7090A" w:rsidRPr="0098325E">
        <w:rPr>
          <w:rFonts w:ascii="Arial" w:hAnsi="Arial" w:cs="Arial"/>
          <w:sz w:val="24"/>
          <w:szCs w:val="24"/>
        </w:rPr>
        <w:t>12,3mg/</w:t>
      </w:r>
      <w:proofErr w:type="spellStart"/>
      <w:r w:rsidR="00A7090A" w:rsidRPr="0098325E">
        <w:rPr>
          <w:rFonts w:ascii="Arial" w:hAnsi="Arial" w:cs="Arial"/>
          <w:sz w:val="24"/>
          <w:szCs w:val="24"/>
        </w:rPr>
        <w:t>dL</w:t>
      </w:r>
      <w:proofErr w:type="spellEnd"/>
      <w:r w:rsidR="00A7090A" w:rsidRPr="0098325E">
        <w:rPr>
          <w:rFonts w:ascii="Arial" w:hAnsi="Arial" w:cs="Arial"/>
          <w:sz w:val="24"/>
          <w:szCs w:val="24"/>
        </w:rPr>
        <w:t xml:space="preserve"> </w:t>
      </w:r>
      <w:r w:rsidR="00794AF1" w:rsidRPr="0098325E">
        <w:rPr>
          <w:rFonts w:ascii="Arial" w:hAnsi="Arial" w:cs="Arial"/>
          <w:sz w:val="24"/>
          <w:szCs w:val="24"/>
        </w:rPr>
        <w:t>(</w:t>
      </w:r>
      <w:r w:rsidR="0095257F" w:rsidRPr="0098325E">
        <w:rPr>
          <w:rFonts w:ascii="Arial" w:hAnsi="Arial" w:cs="Arial"/>
          <w:sz w:val="24"/>
          <w:szCs w:val="24"/>
        </w:rPr>
        <w:t>VR</w:t>
      </w:r>
      <w:r w:rsidR="00A7090A" w:rsidRPr="0098325E">
        <w:rPr>
          <w:rFonts w:ascii="Arial" w:hAnsi="Arial" w:cs="Arial"/>
          <w:sz w:val="24"/>
          <w:szCs w:val="24"/>
        </w:rPr>
        <w:t>:</w:t>
      </w:r>
      <w:r w:rsidR="0095257F" w:rsidRPr="0098325E">
        <w:rPr>
          <w:rFonts w:ascii="Arial" w:hAnsi="Arial" w:cs="Arial"/>
          <w:sz w:val="24"/>
          <w:szCs w:val="24"/>
        </w:rPr>
        <w:t xml:space="preserve"> 8,1-10,2mg/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dL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), diminuição da vitamina D </w:t>
      </w:r>
      <w:r w:rsidR="00794AF1" w:rsidRPr="0098325E">
        <w:rPr>
          <w:rFonts w:ascii="Arial" w:hAnsi="Arial" w:cs="Arial"/>
          <w:sz w:val="24"/>
          <w:szCs w:val="24"/>
        </w:rPr>
        <w:t>7,1ng/</w:t>
      </w:r>
      <w:proofErr w:type="spellStart"/>
      <w:r w:rsidR="00794AF1" w:rsidRPr="0098325E">
        <w:rPr>
          <w:rFonts w:ascii="Arial" w:hAnsi="Arial" w:cs="Arial"/>
          <w:sz w:val="24"/>
          <w:szCs w:val="24"/>
        </w:rPr>
        <w:t>mL</w:t>
      </w:r>
      <w:proofErr w:type="spellEnd"/>
      <w:r w:rsidR="00794AF1" w:rsidRPr="0098325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5257F" w:rsidRPr="0098325E">
        <w:rPr>
          <w:rFonts w:ascii="Arial" w:hAnsi="Arial" w:cs="Arial"/>
          <w:sz w:val="24"/>
          <w:szCs w:val="24"/>
        </w:rPr>
        <w:t>VR &gt;30ng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>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), elevação da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fosfatase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alcalina</w:t>
      </w:r>
      <w:r w:rsidR="00794AF1" w:rsidRPr="0098325E">
        <w:rPr>
          <w:rFonts w:ascii="Arial" w:hAnsi="Arial" w:cs="Arial"/>
          <w:sz w:val="24"/>
          <w:szCs w:val="24"/>
        </w:rPr>
        <w:t xml:space="preserve"> </w:t>
      </w:r>
      <w:r w:rsidR="00A7090A" w:rsidRPr="0098325E">
        <w:rPr>
          <w:rFonts w:ascii="Arial" w:hAnsi="Arial" w:cs="Arial"/>
          <w:sz w:val="24"/>
          <w:szCs w:val="24"/>
        </w:rPr>
        <w:t>494U/L</w:t>
      </w:r>
      <w:r w:rsidR="00794AF1" w:rsidRPr="0098325E">
        <w:rPr>
          <w:rFonts w:ascii="Arial" w:hAnsi="Arial" w:cs="Arial"/>
          <w:sz w:val="24"/>
          <w:szCs w:val="24"/>
        </w:rPr>
        <w:t xml:space="preserve"> (</w:t>
      </w:r>
      <w:r w:rsidR="0095257F" w:rsidRPr="0098325E">
        <w:rPr>
          <w:rFonts w:ascii="Arial" w:hAnsi="Arial" w:cs="Arial"/>
          <w:sz w:val="24"/>
          <w:szCs w:val="24"/>
        </w:rPr>
        <w:t>VR</w:t>
      </w:r>
      <w:r w:rsidR="00A7090A" w:rsidRPr="0098325E">
        <w:rPr>
          <w:rFonts w:ascii="Arial" w:hAnsi="Arial" w:cs="Arial"/>
          <w:sz w:val="24"/>
          <w:szCs w:val="24"/>
        </w:rPr>
        <w:t>:</w:t>
      </w:r>
      <w:r w:rsidR="00794AF1" w:rsidRPr="0098325E">
        <w:rPr>
          <w:rFonts w:ascii="Arial" w:hAnsi="Arial" w:cs="Arial"/>
          <w:sz w:val="24"/>
          <w:szCs w:val="24"/>
        </w:rPr>
        <w:t xml:space="preserve"> </w:t>
      </w:r>
      <w:r w:rsidR="0095257F" w:rsidRPr="0098325E">
        <w:rPr>
          <w:rFonts w:ascii="Arial" w:hAnsi="Arial" w:cs="Arial"/>
          <w:sz w:val="24"/>
          <w:szCs w:val="24"/>
        </w:rPr>
        <w:t xml:space="preserve">40-129UI/L) e urina de 24 horas com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hipercalciúria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10mg/kg/24h</w:t>
      </w:r>
      <w:r w:rsidR="00BD6F5C" w:rsidRPr="0098325E">
        <w:rPr>
          <w:rFonts w:ascii="Arial" w:hAnsi="Arial" w:cs="Arial"/>
          <w:sz w:val="24"/>
          <w:szCs w:val="24"/>
        </w:rPr>
        <w:t xml:space="preserve"> </w:t>
      </w:r>
      <w:r w:rsidR="00794AF1" w:rsidRPr="0098325E">
        <w:rPr>
          <w:rFonts w:ascii="Arial" w:hAnsi="Arial" w:cs="Arial"/>
          <w:sz w:val="24"/>
          <w:szCs w:val="24"/>
        </w:rPr>
        <w:t>(</w:t>
      </w:r>
      <w:r w:rsidR="0095257F" w:rsidRPr="0098325E">
        <w:rPr>
          <w:rFonts w:ascii="Arial" w:hAnsi="Arial" w:cs="Arial"/>
          <w:sz w:val="24"/>
          <w:szCs w:val="24"/>
        </w:rPr>
        <w:t xml:space="preserve">VR &lt;4mg/kg/24h) e hiperfosfatúria </w:t>
      </w:r>
      <w:r w:rsidR="00BD6F5C" w:rsidRPr="0098325E">
        <w:rPr>
          <w:rFonts w:ascii="Arial" w:hAnsi="Arial" w:cs="Arial"/>
          <w:sz w:val="24"/>
          <w:szCs w:val="24"/>
        </w:rPr>
        <w:t xml:space="preserve">37 mg/kg/24h </w:t>
      </w:r>
      <w:r w:rsidR="00794AF1" w:rsidRPr="0098325E">
        <w:rPr>
          <w:rFonts w:ascii="Arial" w:hAnsi="Arial" w:cs="Arial"/>
          <w:sz w:val="24"/>
          <w:szCs w:val="24"/>
        </w:rPr>
        <w:lastRenderedPageBreak/>
        <w:t>(</w:t>
      </w:r>
      <w:r w:rsidR="0095257F" w:rsidRPr="0098325E">
        <w:rPr>
          <w:rFonts w:ascii="Arial" w:hAnsi="Arial" w:cs="Arial"/>
          <w:sz w:val="24"/>
          <w:szCs w:val="24"/>
        </w:rPr>
        <w:t>VR &lt; 21,6 mg/kg/24h)</w:t>
      </w:r>
      <w:r w:rsidR="0095257F" w:rsidRPr="0098325E">
        <w:rPr>
          <w:rFonts w:ascii="Arial" w:hAnsi="Arial" w:cs="Arial"/>
          <w:color w:val="FF0000"/>
          <w:sz w:val="24"/>
          <w:szCs w:val="24"/>
        </w:rPr>
        <w:t xml:space="preserve"> </w:t>
      </w:r>
      <w:r w:rsidR="0095257F" w:rsidRPr="0098325E">
        <w:rPr>
          <w:rFonts w:ascii="Arial" w:hAnsi="Arial" w:cs="Arial"/>
          <w:sz w:val="24"/>
          <w:szCs w:val="24"/>
        </w:rPr>
        <w:t xml:space="preserve">(Tabela 2). </w:t>
      </w:r>
      <w:r w:rsidR="005E581B">
        <w:rPr>
          <w:rFonts w:ascii="Arial" w:hAnsi="Arial" w:cs="Arial"/>
          <w:sz w:val="24"/>
          <w:szCs w:val="24"/>
        </w:rPr>
        <w:t>A f</w:t>
      </w:r>
      <w:r w:rsidR="00D30FE4" w:rsidRPr="0098325E">
        <w:rPr>
          <w:rFonts w:ascii="Arial" w:hAnsi="Arial" w:cs="Arial"/>
          <w:sz w:val="24"/>
          <w:szCs w:val="24"/>
        </w:rPr>
        <w:t xml:space="preserve">unção renal, </w:t>
      </w:r>
      <w:r w:rsidR="005E581B">
        <w:rPr>
          <w:rFonts w:ascii="Arial" w:hAnsi="Arial" w:cs="Arial"/>
          <w:sz w:val="24"/>
          <w:szCs w:val="24"/>
        </w:rPr>
        <w:t xml:space="preserve">a </w:t>
      </w:r>
      <w:r w:rsidR="00D30FE4" w:rsidRPr="0098325E">
        <w:rPr>
          <w:rFonts w:ascii="Arial" w:hAnsi="Arial" w:cs="Arial"/>
          <w:sz w:val="24"/>
          <w:szCs w:val="24"/>
        </w:rPr>
        <w:t>função</w:t>
      </w:r>
      <w:r w:rsidR="0095257F" w:rsidRPr="0098325E">
        <w:rPr>
          <w:rFonts w:ascii="Arial" w:hAnsi="Arial" w:cs="Arial"/>
          <w:sz w:val="24"/>
          <w:szCs w:val="24"/>
        </w:rPr>
        <w:t xml:space="preserve"> tiroideia </w:t>
      </w:r>
      <w:r w:rsidR="00D30FE4" w:rsidRPr="0098325E">
        <w:rPr>
          <w:rFonts w:ascii="Arial" w:hAnsi="Arial" w:cs="Arial"/>
          <w:sz w:val="24"/>
          <w:szCs w:val="24"/>
        </w:rPr>
        <w:t>e</w:t>
      </w:r>
      <w:r w:rsidR="005E581B">
        <w:rPr>
          <w:rFonts w:ascii="Arial" w:hAnsi="Arial" w:cs="Arial"/>
          <w:sz w:val="24"/>
          <w:szCs w:val="24"/>
        </w:rPr>
        <w:t xml:space="preserve"> o</w:t>
      </w:r>
      <w:r w:rsidR="00D30FE4" w:rsidRPr="0098325E">
        <w:rPr>
          <w:rFonts w:ascii="Arial" w:hAnsi="Arial" w:cs="Arial"/>
          <w:sz w:val="24"/>
          <w:szCs w:val="24"/>
        </w:rPr>
        <w:t xml:space="preserve"> d</w:t>
      </w:r>
      <w:r w:rsidR="0095257F" w:rsidRPr="0098325E">
        <w:rPr>
          <w:rFonts w:ascii="Arial" w:hAnsi="Arial" w:cs="Arial"/>
          <w:sz w:val="24"/>
          <w:szCs w:val="24"/>
        </w:rPr>
        <w:t xml:space="preserve">oseamento de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metanefrinas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urinárias </w:t>
      </w:r>
      <w:r w:rsidR="005E581B">
        <w:rPr>
          <w:rFonts w:ascii="Arial" w:hAnsi="Arial" w:cs="Arial"/>
          <w:sz w:val="24"/>
          <w:szCs w:val="24"/>
        </w:rPr>
        <w:t xml:space="preserve">encontravam-se dentro dos valores da normalidade. Realizou </w:t>
      </w:r>
      <w:r w:rsidR="00A76F5A">
        <w:rPr>
          <w:rFonts w:ascii="Arial" w:hAnsi="Arial" w:cs="Arial"/>
          <w:sz w:val="24"/>
          <w:szCs w:val="24"/>
        </w:rPr>
        <w:t>e</w:t>
      </w:r>
      <w:r w:rsidR="0095257F" w:rsidRPr="0098325E">
        <w:rPr>
          <w:rFonts w:ascii="Arial" w:hAnsi="Arial" w:cs="Arial"/>
          <w:sz w:val="24"/>
          <w:szCs w:val="24"/>
        </w:rPr>
        <w:t>cografia cervical</w:t>
      </w:r>
      <w:r w:rsidR="005E581B">
        <w:rPr>
          <w:rFonts w:ascii="Arial" w:hAnsi="Arial" w:cs="Arial"/>
          <w:sz w:val="24"/>
          <w:szCs w:val="24"/>
        </w:rPr>
        <w:t xml:space="preserve"> onde se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r w:rsidR="00C8768D" w:rsidRPr="0098325E">
        <w:rPr>
          <w:rFonts w:ascii="Arial" w:hAnsi="Arial" w:cs="Arial"/>
          <w:sz w:val="24"/>
          <w:szCs w:val="24"/>
        </w:rPr>
        <w:t>identificou</w:t>
      </w:r>
      <w:r w:rsidR="0095257F" w:rsidRPr="0098325E">
        <w:rPr>
          <w:rFonts w:ascii="Arial" w:hAnsi="Arial" w:cs="Arial"/>
          <w:sz w:val="24"/>
          <w:szCs w:val="24"/>
        </w:rPr>
        <w:t xml:space="preserve"> nódulo sólido </w:t>
      </w:r>
      <w:proofErr w:type="spellStart"/>
      <w:r w:rsidR="00BD6F5C" w:rsidRPr="0098325E">
        <w:rPr>
          <w:rFonts w:ascii="Arial" w:hAnsi="Arial" w:cs="Arial"/>
          <w:sz w:val="24"/>
          <w:szCs w:val="24"/>
        </w:rPr>
        <w:t>hipoecogénico</w:t>
      </w:r>
      <w:proofErr w:type="spellEnd"/>
      <w:r w:rsidR="00BD6F5C" w:rsidRPr="0098325E">
        <w:rPr>
          <w:rFonts w:ascii="Arial" w:hAnsi="Arial" w:cs="Arial"/>
          <w:sz w:val="24"/>
          <w:szCs w:val="24"/>
        </w:rPr>
        <w:t xml:space="preserve"> e homogéneo </w:t>
      </w:r>
      <w:r w:rsidR="007724EA" w:rsidRPr="0098325E">
        <w:rPr>
          <w:rFonts w:ascii="Arial" w:hAnsi="Arial" w:cs="Arial"/>
          <w:sz w:val="24"/>
          <w:szCs w:val="24"/>
        </w:rPr>
        <w:t>na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paratiroideia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direita, com 19x7x5mm, sugestivo de adenoma</w:t>
      </w:r>
      <w:r w:rsidR="00426F11" w:rsidRPr="0098325E">
        <w:rPr>
          <w:rFonts w:ascii="Arial" w:hAnsi="Arial" w:cs="Arial"/>
          <w:sz w:val="24"/>
          <w:szCs w:val="24"/>
        </w:rPr>
        <w:t xml:space="preserve"> (</w:t>
      </w:r>
      <w:r w:rsidR="00380079">
        <w:rPr>
          <w:rFonts w:ascii="Arial" w:hAnsi="Arial" w:cs="Arial"/>
          <w:sz w:val="24"/>
          <w:szCs w:val="24"/>
        </w:rPr>
        <w:t xml:space="preserve">Inserir </w:t>
      </w:r>
      <w:r w:rsidR="00426F11" w:rsidRPr="0098325E">
        <w:rPr>
          <w:rFonts w:ascii="Arial" w:hAnsi="Arial" w:cs="Arial"/>
          <w:sz w:val="24"/>
          <w:szCs w:val="24"/>
        </w:rPr>
        <w:t>Figura 1)</w:t>
      </w:r>
      <w:r w:rsidR="00D12D12" w:rsidRPr="0098325E">
        <w:rPr>
          <w:rFonts w:ascii="Arial" w:hAnsi="Arial" w:cs="Arial"/>
          <w:sz w:val="24"/>
          <w:szCs w:val="24"/>
        </w:rPr>
        <w:t xml:space="preserve">. </w:t>
      </w:r>
      <w:r w:rsidR="00A76F5A">
        <w:rPr>
          <w:rFonts w:ascii="Arial" w:hAnsi="Arial" w:cs="Arial"/>
          <w:sz w:val="24"/>
          <w:szCs w:val="24"/>
        </w:rPr>
        <w:t>A c</w:t>
      </w:r>
      <w:r w:rsidR="00D12D12" w:rsidRPr="0098325E">
        <w:rPr>
          <w:rFonts w:ascii="Arial" w:hAnsi="Arial" w:cs="Arial"/>
          <w:sz w:val="24"/>
          <w:szCs w:val="24"/>
        </w:rPr>
        <w:t>intigrafia com tecnécio-</w:t>
      </w:r>
      <w:proofErr w:type="spellStart"/>
      <w:r w:rsidR="00D12D12" w:rsidRPr="0098325E">
        <w:rPr>
          <w:rFonts w:ascii="Arial" w:hAnsi="Arial" w:cs="Arial"/>
          <w:sz w:val="24"/>
          <w:szCs w:val="24"/>
        </w:rPr>
        <w:t>s</w:t>
      </w:r>
      <w:r w:rsidR="0095257F" w:rsidRPr="0098325E">
        <w:rPr>
          <w:rFonts w:ascii="Arial" w:hAnsi="Arial" w:cs="Arial"/>
          <w:sz w:val="24"/>
          <w:szCs w:val="24"/>
        </w:rPr>
        <w:t>estamibi</w:t>
      </w:r>
      <w:proofErr w:type="spellEnd"/>
      <w:r w:rsidR="0095257F" w:rsidRPr="0098325E">
        <w:rPr>
          <w:rFonts w:ascii="Arial" w:hAnsi="Arial" w:cs="Arial"/>
          <w:color w:val="FF0000"/>
          <w:sz w:val="24"/>
          <w:szCs w:val="24"/>
        </w:rPr>
        <w:t xml:space="preserve"> </w:t>
      </w:r>
      <w:r w:rsidR="0095257F" w:rsidRPr="0098325E">
        <w:rPr>
          <w:rFonts w:ascii="Arial" w:hAnsi="Arial" w:cs="Arial"/>
          <w:sz w:val="24"/>
          <w:szCs w:val="24"/>
        </w:rPr>
        <w:t xml:space="preserve">das glândulas tiroideias e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paratiroideias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evidenciou tecido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hiperfuncionante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</w:t>
      </w:r>
      <w:r w:rsidR="007724EA" w:rsidRPr="0098325E">
        <w:rPr>
          <w:rFonts w:ascii="Arial" w:hAnsi="Arial" w:cs="Arial"/>
          <w:sz w:val="24"/>
          <w:szCs w:val="24"/>
        </w:rPr>
        <w:t>na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paratiroideia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inferior direita</w:t>
      </w:r>
      <w:r w:rsidR="00426F11" w:rsidRPr="0098325E">
        <w:rPr>
          <w:rFonts w:ascii="Arial" w:hAnsi="Arial" w:cs="Arial"/>
          <w:sz w:val="24"/>
          <w:szCs w:val="24"/>
        </w:rPr>
        <w:t xml:space="preserve"> (</w:t>
      </w:r>
      <w:r w:rsidR="00380079">
        <w:rPr>
          <w:rFonts w:ascii="Arial" w:hAnsi="Arial" w:cs="Arial"/>
          <w:sz w:val="24"/>
          <w:szCs w:val="24"/>
        </w:rPr>
        <w:t xml:space="preserve">Inserir </w:t>
      </w:r>
      <w:r w:rsidR="00426F11" w:rsidRPr="0098325E">
        <w:rPr>
          <w:rFonts w:ascii="Arial" w:hAnsi="Arial" w:cs="Arial"/>
          <w:sz w:val="24"/>
          <w:szCs w:val="24"/>
        </w:rPr>
        <w:t>Figura 2)</w:t>
      </w:r>
      <w:r w:rsidR="0095257F" w:rsidRPr="0098325E">
        <w:rPr>
          <w:rFonts w:ascii="Arial" w:hAnsi="Arial" w:cs="Arial"/>
          <w:sz w:val="24"/>
          <w:szCs w:val="24"/>
        </w:rPr>
        <w:t xml:space="preserve">. </w:t>
      </w:r>
      <w:r w:rsidR="005E581B">
        <w:rPr>
          <w:rFonts w:ascii="Arial" w:hAnsi="Arial" w:cs="Arial"/>
          <w:sz w:val="24"/>
          <w:szCs w:val="24"/>
        </w:rPr>
        <w:t>Fez a</w:t>
      </w:r>
      <w:r w:rsidR="00766F60" w:rsidRPr="0098325E">
        <w:rPr>
          <w:rFonts w:ascii="Arial" w:hAnsi="Arial" w:cs="Arial"/>
          <w:sz w:val="24"/>
          <w:szCs w:val="24"/>
        </w:rPr>
        <w:t xml:space="preserve">valiação da densidade mineral óssea </w:t>
      </w:r>
      <w:r w:rsidR="00D4399C" w:rsidRPr="0098325E">
        <w:rPr>
          <w:rFonts w:ascii="Arial" w:hAnsi="Arial" w:cs="Arial"/>
          <w:sz w:val="24"/>
          <w:szCs w:val="24"/>
        </w:rPr>
        <w:t>com</w:t>
      </w:r>
      <w:r w:rsidR="008960EB" w:rsidRPr="0098325E">
        <w:rPr>
          <w:rFonts w:ascii="Arial" w:hAnsi="Arial" w:cs="Arial"/>
          <w:sz w:val="24"/>
          <w:szCs w:val="24"/>
        </w:rPr>
        <w:t xml:space="preserve"> </w:t>
      </w:r>
      <w:r w:rsidR="00766F60" w:rsidRPr="0098325E">
        <w:rPr>
          <w:rFonts w:ascii="Arial" w:hAnsi="Arial" w:cs="Arial"/>
          <w:sz w:val="24"/>
          <w:szCs w:val="24"/>
        </w:rPr>
        <w:t>fémur esquerdo com desvio padrão de +0,9 e de +1 no colo (score Z)</w:t>
      </w:r>
      <w:r w:rsidR="005E581B">
        <w:rPr>
          <w:rFonts w:ascii="Arial" w:hAnsi="Arial" w:cs="Arial"/>
          <w:sz w:val="24"/>
          <w:szCs w:val="24"/>
        </w:rPr>
        <w:t>,</w:t>
      </w:r>
      <w:r w:rsidR="00A76F5A">
        <w:rPr>
          <w:rFonts w:ascii="Arial" w:hAnsi="Arial" w:cs="Arial"/>
          <w:sz w:val="24"/>
          <w:szCs w:val="24"/>
        </w:rPr>
        <w:t xml:space="preserve"> </w:t>
      </w:r>
      <w:r w:rsidR="005E581B">
        <w:rPr>
          <w:rFonts w:ascii="Arial" w:hAnsi="Arial" w:cs="Arial"/>
          <w:sz w:val="24"/>
          <w:szCs w:val="24"/>
        </w:rPr>
        <w:t xml:space="preserve">valores </w:t>
      </w:r>
      <w:r w:rsidR="00A76F5A">
        <w:rPr>
          <w:rFonts w:ascii="Arial" w:hAnsi="Arial" w:cs="Arial"/>
          <w:sz w:val="24"/>
          <w:szCs w:val="24"/>
        </w:rPr>
        <w:t>considerado</w:t>
      </w:r>
      <w:r w:rsidR="005E581B">
        <w:rPr>
          <w:rFonts w:ascii="Arial" w:hAnsi="Arial" w:cs="Arial"/>
          <w:sz w:val="24"/>
          <w:szCs w:val="24"/>
        </w:rPr>
        <w:t>s</w:t>
      </w:r>
      <w:r w:rsidR="00A76F5A">
        <w:rPr>
          <w:rFonts w:ascii="Arial" w:hAnsi="Arial" w:cs="Arial"/>
          <w:sz w:val="24"/>
          <w:szCs w:val="24"/>
        </w:rPr>
        <w:t xml:space="preserve"> norma</w:t>
      </w:r>
      <w:r w:rsidR="005E581B">
        <w:rPr>
          <w:rFonts w:ascii="Arial" w:hAnsi="Arial" w:cs="Arial"/>
          <w:sz w:val="24"/>
          <w:szCs w:val="24"/>
        </w:rPr>
        <w:t>is</w:t>
      </w:r>
      <w:r w:rsidR="00A76F5A">
        <w:rPr>
          <w:rFonts w:ascii="Arial" w:hAnsi="Arial" w:cs="Arial"/>
          <w:sz w:val="24"/>
          <w:szCs w:val="24"/>
        </w:rPr>
        <w:t xml:space="preserve"> para</w:t>
      </w:r>
      <w:r w:rsidR="00362182">
        <w:rPr>
          <w:rFonts w:ascii="Arial" w:hAnsi="Arial" w:cs="Arial"/>
          <w:sz w:val="24"/>
          <w:szCs w:val="24"/>
        </w:rPr>
        <w:t xml:space="preserve"> o sexo e</w:t>
      </w:r>
      <w:r w:rsidR="00766F60" w:rsidRPr="0098325E">
        <w:rPr>
          <w:rFonts w:ascii="Arial" w:hAnsi="Arial" w:cs="Arial"/>
          <w:sz w:val="24"/>
          <w:szCs w:val="24"/>
        </w:rPr>
        <w:t xml:space="preserve"> faixa etária. </w:t>
      </w:r>
    </w:p>
    <w:p w:rsidR="0095257F" w:rsidRPr="0098325E" w:rsidRDefault="006275E4" w:rsidP="00983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>Foi submetido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r w:rsidR="00B217F5" w:rsidRPr="0098325E">
        <w:rPr>
          <w:rFonts w:ascii="Arial" w:hAnsi="Arial" w:cs="Arial"/>
          <w:sz w:val="24"/>
          <w:szCs w:val="24"/>
        </w:rPr>
        <w:t xml:space="preserve">a </w:t>
      </w:r>
      <w:r w:rsidR="0095257F" w:rsidRPr="0098325E">
        <w:rPr>
          <w:rFonts w:ascii="Arial" w:hAnsi="Arial" w:cs="Arial"/>
          <w:sz w:val="24"/>
          <w:szCs w:val="24"/>
        </w:rPr>
        <w:t>paratiroidectomia inferior direita, sem intercorrências</w:t>
      </w:r>
      <w:r w:rsidR="00426F11" w:rsidRPr="0098325E">
        <w:rPr>
          <w:rFonts w:ascii="Arial" w:hAnsi="Arial" w:cs="Arial"/>
          <w:sz w:val="24"/>
          <w:szCs w:val="24"/>
        </w:rPr>
        <w:t xml:space="preserve"> (</w:t>
      </w:r>
      <w:r w:rsidR="00380079">
        <w:rPr>
          <w:rFonts w:ascii="Arial" w:hAnsi="Arial" w:cs="Arial"/>
          <w:sz w:val="24"/>
          <w:szCs w:val="24"/>
        </w:rPr>
        <w:t xml:space="preserve">Inserir </w:t>
      </w:r>
      <w:r w:rsidR="00426F11" w:rsidRPr="0098325E">
        <w:rPr>
          <w:rFonts w:ascii="Arial" w:hAnsi="Arial" w:cs="Arial"/>
          <w:sz w:val="24"/>
          <w:szCs w:val="24"/>
        </w:rPr>
        <w:t>Figura 3)</w:t>
      </w:r>
      <w:r w:rsidR="0095257F" w:rsidRPr="0098325E">
        <w:rPr>
          <w:rFonts w:ascii="Arial" w:hAnsi="Arial" w:cs="Arial"/>
          <w:sz w:val="24"/>
          <w:szCs w:val="24"/>
        </w:rPr>
        <w:t>. O doseamento intra-operatório de PTH foi de 34,4pg/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, correspondente a uma descida superior a 50% relativamente ao valo</w:t>
      </w:r>
      <w:r w:rsidR="007724EA" w:rsidRPr="0098325E">
        <w:rPr>
          <w:rFonts w:ascii="Arial" w:hAnsi="Arial" w:cs="Arial"/>
          <w:sz w:val="24"/>
          <w:szCs w:val="24"/>
        </w:rPr>
        <w:t xml:space="preserve">r inicial. </w:t>
      </w:r>
      <w:r w:rsidR="008960EB" w:rsidRPr="0098325E">
        <w:rPr>
          <w:rFonts w:ascii="Arial" w:hAnsi="Arial" w:cs="Arial"/>
          <w:sz w:val="24"/>
          <w:szCs w:val="24"/>
        </w:rPr>
        <w:t>Teve a</w:t>
      </w:r>
      <w:r w:rsidRPr="0098325E">
        <w:rPr>
          <w:rFonts w:ascii="Arial" w:hAnsi="Arial" w:cs="Arial"/>
          <w:sz w:val="24"/>
          <w:szCs w:val="24"/>
        </w:rPr>
        <w:t>lta</w:t>
      </w:r>
      <w:r w:rsidR="0095257F" w:rsidRPr="0098325E">
        <w:rPr>
          <w:rFonts w:ascii="Arial" w:hAnsi="Arial" w:cs="Arial"/>
          <w:sz w:val="24"/>
          <w:szCs w:val="24"/>
        </w:rPr>
        <w:t xml:space="preserve"> às 24 horas </w:t>
      </w:r>
      <w:r w:rsidR="00B217F5" w:rsidRPr="0098325E">
        <w:rPr>
          <w:rFonts w:ascii="Arial" w:hAnsi="Arial" w:cs="Arial"/>
          <w:sz w:val="24"/>
          <w:szCs w:val="24"/>
        </w:rPr>
        <w:t xml:space="preserve">de </w:t>
      </w:r>
      <w:r w:rsidR="0095257F" w:rsidRPr="0098325E">
        <w:rPr>
          <w:rFonts w:ascii="Arial" w:hAnsi="Arial" w:cs="Arial"/>
          <w:sz w:val="24"/>
          <w:szCs w:val="24"/>
        </w:rPr>
        <w:t>pós-operatório</w:t>
      </w:r>
      <w:r w:rsidR="00B217F5" w:rsidRPr="0098325E">
        <w:rPr>
          <w:rFonts w:ascii="Arial" w:hAnsi="Arial" w:cs="Arial"/>
          <w:sz w:val="24"/>
          <w:szCs w:val="24"/>
        </w:rPr>
        <w:t>,</w:t>
      </w:r>
      <w:r w:rsidR="0095257F" w:rsidRPr="0098325E">
        <w:rPr>
          <w:rFonts w:ascii="Arial" w:hAnsi="Arial" w:cs="Arial"/>
          <w:sz w:val="24"/>
          <w:szCs w:val="24"/>
        </w:rPr>
        <w:t xml:space="preserve"> com doseamentos séricos de cálcio, fosforo e PTH</w:t>
      </w:r>
      <w:r w:rsidR="00B005E9" w:rsidRPr="0098325E">
        <w:rPr>
          <w:rFonts w:ascii="Arial" w:hAnsi="Arial" w:cs="Arial"/>
          <w:sz w:val="24"/>
          <w:szCs w:val="24"/>
        </w:rPr>
        <w:t xml:space="preserve"> normais</w:t>
      </w:r>
      <w:r w:rsidR="006A5379">
        <w:rPr>
          <w:rFonts w:ascii="Arial" w:hAnsi="Arial" w:cs="Arial"/>
          <w:sz w:val="24"/>
          <w:szCs w:val="24"/>
        </w:rPr>
        <w:t xml:space="preserve"> (Ca: 8,5 mg/</w:t>
      </w:r>
      <w:proofErr w:type="spellStart"/>
      <w:r w:rsidR="006A5379">
        <w:rPr>
          <w:rFonts w:ascii="Arial" w:hAnsi="Arial" w:cs="Arial"/>
          <w:sz w:val="24"/>
          <w:szCs w:val="24"/>
        </w:rPr>
        <w:t>dL</w:t>
      </w:r>
      <w:proofErr w:type="spellEnd"/>
      <w:r w:rsidR="006A5379">
        <w:rPr>
          <w:rFonts w:ascii="Arial" w:hAnsi="Arial" w:cs="Arial"/>
          <w:sz w:val="24"/>
          <w:szCs w:val="24"/>
        </w:rPr>
        <w:t>, PTH: 26,0</w:t>
      </w:r>
      <w:r w:rsidR="0095257F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pg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e </w:t>
      </w:r>
      <w:r w:rsidR="006A5379" w:rsidRPr="0006039A">
        <w:rPr>
          <w:rFonts w:ascii="Arial" w:hAnsi="Arial" w:cs="Arial"/>
          <w:sz w:val="24"/>
          <w:szCs w:val="24"/>
        </w:rPr>
        <w:t>P: 3,0</w:t>
      </w:r>
      <w:r w:rsidR="0095257F" w:rsidRPr="0006039A">
        <w:rPr>
          <w:rFonts w:ascii="Arial" w:hAnsi="Arial" w:cs="Arial"/>
          <w:sz w:val="24"/>
          <w:szCs w:val="24"/>
        </w:rPr>
        <w:t xml:space="preserve"> mg/</w:t>
      </w:r>
      <w:proofErr w:type="spellStart"/>
      <w:r w:rsidR="0095257F" w:rsidRPr="0006039A">
        <w:rPr>
          <w:rFonts w:ascii="Arial" w:hAnsi="Arial" w:cs="Arial"/>
          <w:sz w:val="24"/>
          <w:szCs w:val="24"/>
        </w:rPr>
        <w:t>dL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)</w:t>
      </w:r>
      <w:r w:rsidR="0006039A">
        <w:rPr>
          <w:rFonts w:ascii="Arial" w:hAnsi="Arial" w:cs="Arial"/>
          <w:sz w:val="24"/>
          <w:szCs w:val="24"/>
        </w:rPr>
        <w:t>,</w:t>
      </w:r>
      <w:r w:rsidR="0095257F" w:rsidRPr="0098325E">
        <w:rPr>
          <w:rFonts w:ascii="Arial" w:hAnsi="Arial" w:cs="Arial"/>
          <w:sz w:val="24"/>
          <w:szCs w:val="24"/>
        </w:rPr>
        <w:t xml:space="preserve"> medicado com carbonato de cálcio e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colecalciferol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durante 20 dias. O exame histológ</w:t>
      </w:r>
      <w:r w:rsidR="00B005E9" w:rsidRPr="0098325E">
        <w:rPr>
          <w:rFonts w:ascii="Arial" w:hAnsi="Arial" w:cs="Arial"/>
          <w:sz w:val="24"/>
          <w:szCs w:val="24"/>
        </w:rPr>
        <w:t>ico da peça cirúrgica revelou</w:t>
      </w:r>
      <w:r w:rsidR="0095257F" w:rsidRPr="0098325E">
        <w:rPr>
          <w:rFonts w:ascii="Arial" w:hAnsi="Arial" w:cs="Arial"/>
          <w:sz w:val="24"/>
          <w:szCs w:val="24"/>
        </w:rPr>
        <w:t xml:space="preserve"> hiperplasia das células principais. </w:t>
      </w:r>
      <w:proofErr w:type="gramStart"/>
      <w:r w:rsidR="00D4399C" w:rsidRPr="0098325E">
        <w:rPr>
          <w:rFonts w:ascii="Arial" w:hAnsi="Arial" w:cs="Arial"/>
          <w:sz w:val="24"/>
          <w:szCs w:val="24"/>
        </w:rPr>
        <w:t>A</w:t>
      </w:r>
      <w:proofErr w:type="gramEnd"/>
      <w:r w:rsidR="00D4399C"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399C" w:rsidRPr="0098325E">
        <w:rPr>
          <w:rFonts w:ascii="Arial" w:hAnsi="Arial" w:cs="Arial"/>
          <w:sz w:val="24"/>
          <w:szCs w:val="24"/>
        </w:rPr>
        <w:t>e</w:t>
      </w:r>
      <w:r w:rsidR="0095257F" w:rsidRPr="0098325E">
        <w:rPr>
          <w:rFonts w:ascii="Arial" w:hAnsi="Arial" w:cs="Arial"/>
          <w:sz w:val="24"/>
          <w:szCs w:val="24"/>
        </w:rPr>
        <w:t>cografia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257F" w:rsidRPr="0098325E">
        <w:rPr>
          <w:rFonts w:ascii="Arial" w:hAnsi="Arial" w:cs="Arial"/>
          <w:sz w:val="24"/>
          <w:szCs w:val="24"/>
        </w:rPr>
        <w:t>renal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95257F" w:rsidRPr="0098325E">
        <w:rPr>
          <w:rFonts w:ascii="Arial" w:hAnsi="Arial" w:cs="Arial"/>
          <w:sz w:val="24"/>
          <w:szCs w:val="24"/>
        </w:rPr>
        <w:t>vesical</w:t>
      </w:r>
      <w:proofErr w:type="gramEnd"/>
      <w:r w:rsidR="0095257F" w:rsidRPr="0098325E">
        <w:rPr>
          <w:rFonts w:ascii="Arial" w:hAnsi="Arial" w:cs="Arial"/>
          <w:sz w:val="24"/>
          <w:szCs w:val="24"/>
        </w:rPr>
        <w:t xml:space="preserve"> aos 2 meses </w:t>
      </w:r>
      <w:r w:rsidR="00AC20DD" w:rsidRPr="0098325E">
        <w:rPr>
          <w:rFonts w:ascii="Arial" w:hAnsi="Arial" w:cs="Arial"/>
          <w:sz w:val="24"/>
          <w:szCs w:val="24"/>
        </w:rPr>
        <w:t xml:space="preserve">de </w:t>
      </w:r>
      <w:r w:rsidR="0095257F" w:rsidRPr="0098325E">
        <w:rPr>
          <w:rFonts w:ascii="Arial" w:hAnsi="Arial" w:cs="Arial"/>
          <w:sz w:val="24"/>
          <w:szCs w:val="24"/>
        </w:rPr>
        <w:t xml:space="preserve">pós-operatório evidenciou raros focos 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microlitiásicos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 xml:space="preserve"> bilateralmente, o mais proeminente de 2 mm. </w:t>
      </w:r>
      <w:r w:rsidR="005E581B">
        <w:rPr>
          <w:rFonts w:ascii="Arial" w:hAnsi="Arial" w:cs="Arial"/>
          <w:sz w:val="24"/>
          <w:szCs w:val="24"/>
        </w:rPr>
        <w:t>Os d</w:t>
      </w:r>
      <w:r w:rsidR="0095257F" w:rsidRPr="0098325E">
        <w:rPr>
          <w:rFonts w:ascii="Arial" w:hAnsi="Arial" w:cs="Arial"/>
          <w:sz w:val="24"/>
          <w:szCs w:val="24"/>
        </w:rPr>
        <w:t xml:space="preserve">oseamentos de cálcio e fosforo na urina de 24 horas aos 4 meses </w:t>
      </w:r>
      <w:r w:rsidR="00843DED" w:rsidRPr="0098325E">
        <w:rPr>
          <w:rFonts w:ascii="Arial" w:hAnsi="Arial" w:cs="Arial"/>
          <w:sz w:val="24"/>
          <w:szCs w:val="24"/>
        </w:rPr>
        <w:t xml:space="preserve">de </w:t>
      </w:r>
      <w:r w:rsidR="0095257F" w:rsidRPr="0098325E">
        <w:rPr>
          <w:rFonts w:ascii="Arial" w:hAnsi="Arial" w:cs="Arial"/>
          <w:sz w:val="24"/>
          <w:szCs w:val="24"/>
        </w:rPr>
        <w:t>pós-operatório</w:t>
      </w:r>
      <w:r w:rsidR="005E581B">
        <w:rPr>
          <w:rFonts w:ascii="Arial" w:hAnsi="Arial" w:cs="Arial"/>
          <w:sz w:val="24"/>
          <w:szCs w:val="24"/>
        </w:rPr>
        <w:t xml:space="preserve"> foram</w:t>
      </w:r>
      <w:r w:rsidR="0095257F" w:rsidRPr="0098325E">
        <w:rPr>
          <w:rFonts w:ascii="Arial" w:hAnsi="Arial" w:cs="Arial"/>
          <w:sz w:val="24"/>
          <w:szCs w:val="24"/>
        </w:rPr>
        <w:t xml:space="preserve"> normais (Ca</w:t>
      </w:r>
      <w:r w:rsidR="00843DED" w:rsidRPr="0098325E">
        <w:rPr>
          <w:rFonts w:ascii="Arial" w:hAnsi="Arial" w:cs="Arial"/>
          <w:sz w:val="24"/>
          <w:szCs w:val="24"/>
        </w:rPr>
        <w:t>:</w:t>
      </w:r>
      <w:r w:rsidR="0095257F" w:rsidRPr="0098325E">
        <w:rPr>
          <w:rFonts w:ascii="Arial" w:hAnsi="Arial" w:cs="Arial"/>
          <w:sz w:val="24"/>
          <w:szCs w:val="24"/>
        </w:rPr>
        <w:t xml:space="preserve"> 0,22 mg/kg/24h, P</w:t>
      </w:r>
      <w:r w:rsidR="00843DED" w:rsidRPr="0098325E">
        <w:rPr>
          <w:rFonts w:ascii="Arial" w:hAnsi="Arial" w:cs="Arial"/>
          <w:sz w:val="24"/>
          <w:szCs w:val="24"/>
        </w:rPr>
        <w:t>:</w:t>
      </w:r>
      <w:r w:rsidR="0095257F" w:rsidRPr="0098325E">
        <w:rPr>
          <w:rFonts w:ascii="Arial" w:hAnsi="Arial" w:cs="Arial"/>
          <w:sz w:val="24"/>
          <w:szCs w:val="24"/>
        </w:rPr>
        <w:t xml:space="preserve"> 12mg/kg/24h). </w:t>
      </w:r>
      <w:r w:rsidR="00B005E9" w:rsidRPr="0098325E">
        <w:rPr>
          <w:rFonts w:ascii="Arial" w:hAnsi="Arial" w:cs="Arial"/>
          <w:sz w:val="24"/>
          <w:szCs w:val="24"/>
        </w:rPr>
        <w:t xml:space="preserve">O estudo genético </w:t>
      </w:r>
      <w:r w:rsidR="005E581B">
        <w:rPr>
          <w:rFonts w:ascii="Arial" w:hAnsi="Arial" w:cs="Arial"/>
          <w:sz w:val="24"/>
          <w:szCs w:val="24"/>
        </w:rPr>
        <w:t xml:space="preserve">realizado </w:t>
      </w:r>
      <w:r w:rsidR="00B005E9" w:rsidRPr="0098325E">
        <w:rPr>
          <w:rFonts w:ascii="Arial" w:hAnsi="Arial" w:cs="Arial"/>
          <w:sz w:val="24"/>
          <w:szCs w:val="24"/>
        </w:rPr>
        <w:t xml:space="preserve">para pesquisa de mutação do gene MEN1 foi negativo. </w:t>
      </w:r>
      <w:r w:rsidR="0095257F" w:rsidRPr="0098325E">
        <w:rPr>
          <w:rFonts w:ascii="Arial" w:hAnsi="Arial" w:cs="Arial"/>
          <w:sz w:val="24"/>
          <w:szCs w:val="24"/>
        </w:rPr>
        <w:t>Atualmente, com 6 meses de follow-up, encontra-se assintomático</w:t>
      </w:r>
      <w:r w:rsidR="00766F60" w:rsidRPr="0098325E">
        <w:rPr>
          <w:rFonts w:ascii="Arial" w:hAnsi="Arial" w:cs="Arial"/>
          <w:sz w:val="24"/>
          <w:szCs w:val="24"/>
        </w:rPr>
        <w:t>,</w:t>
      </w:r>
      <w:r w:rsidR="0095257F" w:rsidRPr="0098325E">
        <w:rPr>
          <w:rFonts w:ascii="Arial" w:hAnsi="Arial" w:cs="Arial"/>
          <w:sz w:val="24"/>
          <w:szCs w:val="24"/>
        </w:rPr>
        <w:t xml:space="preserve"> sem novos episódios de lombalgia e com resolução completa das queixas de astenia, cefaleia e fraqueza muscular. Doseamentos de cálcio (9,5mg/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dL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) e PTH (56pg/</w:t>
      </w:r>
      <w:proofErr w:type="spellStart"/>
      <w:r w:rsidR="0095257F" w:rsidRPr="0098325E">
        <w:rPr>
          <w:rFonts w:ascii="Arial" w:hAnsi="Arial" w:cs="Arial"/>
          <w:sz w:val="24"/>
          <w:szCs w:val="24"/>
        </w:rPr>
        <w:t>mL</w:t>
      </w:r>
      <w:proofErr w:type="spellEnd"/>
      <w:r w:rsidR="0095257F" w:rsidRPr="0098325E">
        <w:rPr>
          <w:rFonts w:ascii="Arial" w:hAnsi="Arial" w:cs="Arial"/>
          <w:sz w:val="24"/>
          <w:szCs w:val="24"/>
        </w:rPr>
        <w:t>) séricos dentro dos valores de normalidade.</w:t>
      </w:r>
    </w:p>
    <w:p w:rsidR="000F15DA" w:rsidRPr="0098325E" w:rsidRDefault="000F15DA" w:rsidP="00983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257F" w:rsidRPr="0098325E" w:rsidRDefault="0095257F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8325E">
        <w:rPr>
          <w:rFonts w:ascii="Arial" w:hAnsi="Arial" w:cs="Arial"/>
          <w:b/>
          <w:sz w:val="24"/>
          <w:szCs w:val="24"/>
        </w:rPr>
        <w:t>Discussão</w:t>
      </w:r>
    </w:p>
    <w:p w:rsidR="0095257F" w:rsidRPr="0006039A" w:rsidRDefault="0095257F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A PTH é produzida pelas glândulas </w:t>
      </w:r>
      <w:proofErr w:type="spellStart"/>
      <w:r w:rsidRPr="0098325E">
        <w:rPr>
          <w:rFonts w:ascii="Arial" w:hAnsi="Arial" w:cs="Arial"/>
          <w:sz w:val="24"/>
          <w:szCs w:val="24"/>
        </w:rPr>
        <w:t>paratiroideias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e responde a níveis plasmáticos baixos de cálcio, promovendo o seu aumento através de </w:t>
      </w:r>
      <w:r w:rsidR="00A13A83" w:rsidRPr="0098325E">
        <w:rPr>
          <w:rFonts w:ascii="Arial" w:hAnsi="Arial" w:cs="Arial"/>
          <w:sz w:val="24"/>
          <w:szCs w:val="24"/>
        </w:rPr>
        <w:t>três</w:t>
      </w:r>
      <w:r w:rsidRPr="0098325E">
        <w:rPr>
          <w:rFonts w:ascii="Arial" w:hAnsi="Arial" w:cs="Arial"/>
          <w:sz w:val="24"/>
          <w:szCs w:val="24"/>
        </w:rPr>
        <w:t xml:space="preserve"> mecanismos</w:t>
      </w:r>
      <w:r w:rsidR="00A13A83" w:rsidRPr="0098325E">
        <w:rPr>
          <w:rFonts w:ascii="Arial" w:hAnsi="Arial" w:cs="Arial"/>
          <w:sz w:val="24"/>
          <w:szCs w:val="24"/>
        </w:rPr>
        <w:t xml:space="preserve"> principais</w:t>
      </w:r>
      <w:r w:rsidRPr="0098325E">
        <w:rPr>
          <w:rFonts w:ascii="Arial" w:hAnsi="Arial" w:cs="Arial"/>
          <w:sz w:val="24"/>
          <w:szCs w:val="24"/>
        </w:rPr>
        <w:t xml:space="preserve">: aumento da reabsorção tubular renal de cálcio, aumento da reabsorção óssea e estimulação da 1-alfa-hidroxilase no rim. Esta converte a 25-hidroxivitamina D </w:t>
      </w:r>
      <w:r w:rsidR="00373F29" w:rsidRPr="0098325E">
        <w:rPr>
          <w:rFonts w:ascii="Arial" w:hAnsi="Arial" w:cs="Arial"/>
          <w:sz w:val="24"/>
          <w:szCs w:val="24"/>
        </w:rPr>
        <w:t>par</w:t>
      </w:r>
      <w:r w:rsidRPr="0098325E">
        <w:rPr>
          <w:rFonts w:ascii="Arial" w:hAnsi="Arial" w:cs="Arial"/>
          <w:sz w:val="24"/>
          <w:szCs w:val="24"/>
        </w:rPr>
        <w:t>a 1,25-dihidroxivitamina D (forma ativa</w:t>
      </w:r>
      <w:bookmarkStart w:id="0" w:name="_GoBack"/>
      <w:bookmarkEnd w:id="0"/>
      <w:r w:rsidRPr="0098325E">
        <w:rPr>
          <w:rFonts w:ascii="Arial" w:hAnsi="Arial" w:cs="Arial"/>
          <w:sz w:val="24"/>
          <w:szCs w:val="24"/>
        </w:rPr>
        <w:t xml:space="preserve"> da vitamina D), que </w:t>
      </w:r>
      <w:r w:rsidR="00C25702">
        <w:rPr>
          <w:rFonts w:ascii="Arial" w:hAnsi="Arial" w:cs="Arial"/>
          <w:sz w:val="24"/>
          <w:szCs w:val="24"/>
        </w:rPr>
        <w:t xml:space="preserve">leva ao </w:t>
      </w:r>
      <w:r w:rsidRPr="0098325E">
        <w:rPr>
          <w:rFonts w:ascii="Arial" w:hAnsi="Arial" w:cs="Arial"/>
          <w:sz w:val="24"/>
          <w:szCs w:val="24"/>
        </w:rPr>
        <w:t xml:space="preserve">aumento da reabsorção renal e intestinal de </w:t>
      </w:r>
      <w:r w:rsidRPr="00362182">
        <w:rPr>
          <w:rFonts w:ascii="Arial" w:hAnsi="Arial" w:cs="Arial"/>
          <w:sz w:val="24"/>
          <w:szCs w:val="24"/>
        </w:rPr>
        <w:t>cálcio</w:t>
      </w:r>
      <w:r w:rsidR="00EE6E19" w:rsidRPr="00362182">
        <w:rPr>
          <w:rFonts w:ascii="Arial" w:hAnsi="Arial" w:cs="Arial"/>
          <w:sz w:val="24"/>
          <w:szCs w:val="24"/>
          <w:vertAlign w:val="superscript"/>
        </w:rPr>
        <w:t>1</w:t>
      </w:r>
      <w:r w:rsidR="00362182">
        <w:rPr>
          <w:rFonts w:ascii="Arial" w:hAnsi="Arial" w:cs="Arial"/>
          <w:sz w:val="24"/>
          <w:szCs w:val="24"/>
          <w:vertAlign w:val="superscript"/>
        </w:rPr>
        <w:t>-</w:t>
      </w:r>
      <w:r w:rsidR="005B7B45" w:rsidRPr="00362182">
        <w:rPr>
          <w:rFonts w:ascii="Arial" w:hAnsi="Arial" w:cs="Arial"/>
          <w:sz w:val="24"/>
          <w:szCs w:val="24"/>
          <w:vertAlign w:val="superscript"/>
        </w:rPr>
        <w:t>2</w:t>
      </w:r>
      <w:r w:rsidR="00C25702" w:rsidRPr="0006039A">
        <w:rPr>
          <w:rFonts w:ascii="Arial" w:hAnsi="Arial" w:cs="Arial"/>
          <w:sz w:val="24"/>
          <w:szCs w:val="24"/>
        </w:rPr>
        <w:t xml:space="preserve">, promovendo a </w:t>
      </w:r>
      <w:proofErr w:type="spellStart"/>
      <w:r w:rsidR="00C25702" w:rsidRPr="0006039A">
        <w:rPr>
          <w:rFonts w:ascii="Arial" w:hAnsi="Arial" w:cs="Arial"/>
          <w:sz w:val="24"/>
          <w:szCs w:val="24"/>
        </w:rPr>
        <w:t>homeostase</w:t>
      </w:r>
      <w:proofErr w:type="spellEnd"/>
      <w:r w:rsidR="00C25702" w:rsidRPr="0006039A">
        <w:rPr>
          <w:rFonts w:ascii="Arial" w:hAnsi="Arial" w:cs="Arial"/>
          <w:sz w:val="24"/>
          <w:szCs w:val="24"/>
        </w:rPr>
        <w:t xml:space="preserve"> do cálcio e do metabolismo ósseo.</w:t>
      </w:r>
    </w:p>
    <w:p w:rsidR="00C25702" w:rsidRPr="00FC78A9" w:rsidRDefault="00340AD7" w:rsidP="0078163D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039A">
        <w:rPr>
          <w:rFonts w:ascii="Arial" w:hAnsi="Arial" w:cs="Arial"/>
          <w:sz w:val="24"/>
          <w:szCs w:val="24"/>
        </w:rPr>
        <w:lastRenderedPageBreak/>
        <w:t>E</w:t>
      </w:r>
      <w:r w:rsidR="00C25702" w:rsidRPr="0006039A">
        <w:rPr>
          <w:rFonts w:ascii="Arial" w:hAnsi="Arial" w:cs="Arial"/>
          <w:sz w:val="24"/>
          <w:szCs w:val="24"/>
        </w:rPr>
        <w:t xml:space="preserve">studos recentes têm vindo a demonstrar que doentes com </w:t>
      </w:r>
      <w:proofErr w:type="spellStart"/>
      <w:r w:rsidR="00C25702" w:rsidRPr="0006039A">
        <w:rPr>
          <w:rFonts w:ascii="Arial" w:hAnsi="Arial" w:cs="Arial"/>
          <w:sz w:val="24"/>
          <w:szCs w:val="24"/>
        </w:rPr>
        <w:t>hiperparatiroidismo</w:t>
      </w:r>
      <w:proofErr w:type="spellEnd"/>
      <w:r w:rsidR="00C25702" w:rsidRPr="0006039A">
        <w:rPr>
          <w:rFonts w:ascii="Arial" w:hAnsi="Arial" w:cs="Arial"/>
          <w:sz w:val="24"/>
          <w:szCs w:val="24"/>
        </w:rPr>
        <w:t xml:space="preserve"> </w:t>
      </w:r>
      <w:r w:rsidR="0078163D" w:rsidRPr="0006039A">
        <w:rPr>
          <w:rFonts w:ascii="Arial" w:hAnsi="Arial" w:cs="Arial"/>
          <w:sz w:val="24"/>
          <w:szCs w:val="24"/>
        </w:rPr>
        <w:t xml:space="preserve">primário </w:t>
      </w:r>
      <w:r w:rsidR="00C25702" w:rsidRPr="0006039A">
        <w:rPr>
          <w:rFonts w:ascii="Arial" w:hAnsi="Arial" w:cs="Arial"/>
          <w:sz w:val="24"/>
          <w:szCs w:val="24"/>
        </w:rPr>
        <w:t>apresentam valores mais baixos de vitamina D</w:t>
      </w:r>
      <w:r w:rsidR="0078163D" w:rsidRPr="0006039A">
        <w:rPr>
          <w:rFonts w:ascii="Arial" w:hAnsi="Arial" w:cs="Arial"/>
          <w:sz w:val="24"/>
          <w:szCs w:val="24"/>
        </w:rPr>
        <w:t xml:space="preserve"> relativamente à população geral</w:t>
      </w:r>
      <w:r w:rsidR="00B62D92" w:rsidRPr="0006039A">
        <w:rPr>
          <w:rFonts w:ascii="Arial" w:hAnsi="Arial" w:cs="Arial"/>
          <w:sz w:val="24"/>
          <w:szCs w:val="24"/>
        </w:rPr>
        <w:t>. Níveis reduzidos de vitamina D correlacionam-se</w:t>
      </w:r>
      <w:r w:rsidR="00AF31C8" w:rsidRPr="0006039A">
        <w:rPr>
          <w:rFonts w:ascii="Arial" w:hAnsi="Arial" w:cs="Arial"/>
          <w:sz w:val="24"/>
          <w:szCs w:val="24"/>
        </w:rPr>
        <w:t xml:space="preserve"> com</w:t>
      </w:r>
      <w:r w:rsidR="0078163D" w:rsidRPr="0006039A">
        <w:rPr>
          <w:rFonts w:ascii="Arial" w:hAnsi="Arial" w:cs="Arial"/>
          <w:sz w:val="24"/>
          <w:szCs w:val="24"/>
        </w:rPr>
        <w:t xml:space="preserve"> </w:t>
      </w:r>
      <w:r w:rsidR="004A2E87" w:rsidRPr="0006039A">
        <w:rPr>
          <w:rFonts w:ascii="Arial" w:hAnsi="Arial" w:cs="Arial"/>
          <w:sz w:val="24"/>
          <w:szCs w:val="24"/>
        </w:rPr>
        <w:t xml:space="preserve">quadros clínicos de </w:t>
      </w:r>
      <w:r w:rsidR="00AF31C8" w:rsidRPr="0006039A">
        <w:rPr>
          <w:rFonts w:ascii="Arial" w:hAnsi="Arial" w:cs="Arial"/>
          <w:sz w:val="24"/>
          <w:szCs w:val="24"/>
        </w:rPr>
        <w:t>maior gravidade</w:t>
      </w:r>
      <w:r w:rsidR="00B62D92" w:rsidRPr="0006039A">
        <w:rPr>
          <w:rFonts w:ascii="Arial" w:hAnsi="Arial" w:cs="Arial"/>
          <w:sz w:val="24"/>
          <w:szCs w:val="24"/>
        </w:rPr>
        <w:t>,</w:t>
      </w:r>
      <w:r w:rsidR="00AF31C8" w:rsidRPr="0006039A">
        <w:rPr>
          <w:rFonts w:ascii="Arial" w:hAnsi="Arial" w:cs="Arial"/>
          <w:sz w:val="24"/>
          <w:szCs w:val="24"/>
        </w:rPr>
        <w:t xml:space="preserve"> associ</w:t>
      </w:r>
      <w:r w:rsidR="004A2E87" w:rsidRPr="0006039A">
        <w:rPr>
          <w:rFonts w:ascii="Arial" w:hAnsi="Arial" w:cs="Arial"/>
          <w:sz w:val="24"/>
          <w:szCs w:val="24"/>
        </w:rPr>
        <w:t>ados</w:t>
      </w:r>
      <w:r w:rsidR="00AF31C8" w:rsidRPr="0006039A">
        <w:rPr>
          <w:rFonts w:ascii="Arial" w:hAnsi="Arial" w:cs="Arial"/>
          <w:sz w:val="24"/>
          <w:szCs w:val="24"/>
        </w:rPr>
        <w:t xml:space="preserve"> a</w:t>
      </w:r>
      <w:r w:rsidR="00152891" w:rsidRPr="0006039A">
        <w:rPr>
          <w:rFonts w:ascii="Arial" w:hAnsi="Arial" w:cs="Arial"/>
          <w:sz w:val="24"/>
          <w:szCs w:val="24"/>
        </w:rPr>
        <w:t xml:space="preserve"> valores </w:t>
      </w:r>
      <w:r w:rsidR="00AF31C8" w:rsidRPr="0006039A">
        <w:rPr>
          <w:rFonts w:ascii="Arial" w:hAnsi="Arial" w:cs="Arial"/>
          <w:sz w:val="24"/>
          <w:szCs w:val="24"/>
        </w:rPr>
        <w:t xml:space="preserve">superiores de PTH no pré e pós-operatório, </w:t>
      </w:r>
      <w:r w:rsidR="00B62D92" w:rsidRPr="0006039A">
        <w:rPr>
          <w:rFonts w:ascii="Arial" w:hAnsi="Arial" w:cs="Arial"/>
          <w:sz w:val="24"/>
          <w:szCs w:val="24"/>
        </w:rPr>
        <w:t xml:space="preserve">maior remodelação óssea </w:t>
      </w:r>
      <w:r w:rsidR="00AF31C8" w:rsidRPr="0006039A">
        <w:rPr>
          <w:rFonts w:ascii="Arial" w:hAnsi="Arial" w:cs="Arial"/>
          <w:sz w:val="24"/>
          <w:szCs w:val="24"/>
        </w:rPr>
        <w:t>e</w:t>
      </w:r>
      <w:r w:rsidR="0078163D" w:rsidRPr="000603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63D" w:rsidRPr="0006039A">
        <w:rPr>
          <w:rFonts w:ascii="Arial" w:hAnsi="Arial" w:cs="Arial"/>
          <w:sz w:val="24"/>
          <w:szCs w:val="24"/>
        </w:rPr>
        <w:t>hipocalcémia</w:t>
      </w:r>
      <w:proofErr w:type="spellEnd"/>
      <w:r w:rsidR="0078163D" w:rsidRPr="0006039A">
        <w:rPr>
          <w:rFonts w:ascii="Arial" w:hAnsi="Arial" w:cs="Arial"/>
          <w:sz w:val="24"/>
          <w:szCs w:val="24"/>
        </w:rPr>
        <w:t xml:space="preserve"> pós-operatória</w:t>
      </w:r>
      <w:r w:rsidR="00AF31C8" w:rsidRPr="0006039A">
        <w:rPr>
          <w:rFonts w:ascii="Arial" w:hAnsi="Arial" w:cs="Arial"/>
          <w:sz w:val="24"/>
          <w:szCs w:val="24"/>
        </w:rPr>
        <w:t>.</w:t>
      </w:r>
      <w:r w:rsidR="0078163D" w:rsidRPr="0006039A">
        <w:rPr>
          <w:rFonts w:ascii="Arial" w:hAnsi="Arial" w:cs="Arial"/>
          <w:sz w:val="24"/>
          <w:szCs w:val="24"/>
        </w:rPr>
        <w:t xml:space="preserve"> Desta forma, </w:t>
      </w:r>
      <w:r w:rsidR="006E690F" w:rsidRPr="0006039A">
        <w:rPr>
          <w:rFonts w:ascii="Arial" w:hAnsi="Arial" w:cs="Arial"/>
          <w:sz w:val="24"/>
          <w:szCs w:val="24"/>
        </w:rPr>
        <w:t>a suplementação</w:t>
      </w:r>
      <w:r w:rsidR="00AF31C8" w:rsidRPr="0006039A">
        <w:rPr>
          <w:rFonts w:ascii="Arial" w:hAnsi="Arial" w:cs="Arial"/>
          <w:sz w:val="24"/>
          <w:szCs w:val="24"/>
        </w:rPr>
        <w:t xml:space="preserve"> diária </w:t>
      </w:r>
      <w:r w:rsidR="006E690F" w:rsidRPr="0006039A">
        <w:rPr>
          <w:rFonts w:ascii="Arial" w:hAnsi="Arial" w:cs="Arial"/>
          <w:sz w:val="24"/>
          <w:szCs w:val="24"/>
        </w:rPr>
        <w:t>pré</w:t>
      </w:r>
      <w:r w:rsidR="0078163D" w:rsidRPr="0006039A">
        <w:rPr>
          <w:rFonts w:ascii="Arial" w:hAnsi="Arial" w:cs="Arial"/>
          <w:sz w:val="24"/>
          <w:szCs w:val="24"/>
        </w:rPr>
        <w:t xml:space="preserve">-operatória </w:t>
      </w:r>
      <w:r w:rsidR="006E690F" w:rsidRPr="0006039A">
        <w:rPr>
          <w:rFonts w:ascii="Arial" w:hAnsi="Arial" w:cs="Arial"/>
          <w:sz w:val="24"/>
          <w:szCs w:val="24"/>
        </w:rPr>
        <w:t xml:space="preserve">com </w:t>
      </w:r>
      <w:r w:rsidR="0078163D" w:rsidRPr="0006039A">
        <w:rPr>
          <w:rFonts w:ascii="Arial" w:hAnsi="Arial" w:cs="Arial"/>
          <w:sz w:val="24"/>
          <w:szCs w:val="24"/>
        </w:rPr>
        <w:t xml:space="preserve">vitamina D </w:t>
      </w:r>
      <w:r w:rsidR="00AF31C8" w:rsidRPr="0006039A">
        <w:rPr>
          <w:rFonts w:ascii="Arial" w:hAnsi="Arial" w:cs="Arial"/>
          <w:sz w:val="24"/>
          <w:szCs w:val="24"/>
        </w:rPr>
        <w:t xml:space="preserve">nos doentes com níveis reduzidos </w:t>
      </w:r>
      <w:r w:rsidR="0078163D" w:rsidRPr="0006039A">
        <w:rPr>
          <w:rFonts w:ascii="Arial" w:hAnsi="Arial" w:cs="Arial"/>
          <w:sz w:val="24"/>
          <w:szCs w:val="24"/>
        </w:rPr>
        <w:t>parece ter um efeito benéfico</w:t>
      </w:r>
      <w:r w:rsidR="00AF31C8" w:rsidRPr="0006039A">
        <w:rPr>
          <w:rFonts w:ascii="Arial" w:hAnsi="Arial" w:cs="Arial"/>
          <w:sz w:val="24"/>
          <w:szCs w:val="24"/>
        </w:rPr>
        <w:t>,</w:t>
      </w:r>
      <w:r w:rsidR="0078163D" w:rsidRPr="0006039A">
        <w:rPr>
          <w:rFonts w:ascii="Arial" w:hAnsi="Arial" w:cs="Arial"/>
          <w:sz w:val="24"/>
          <w:szCs w:val="24"/>
        </w:rPr>
        <w:t xml:space="preserve"> </w:t>
      </w:r>
      <w:r w:rsidR="00AF31C8" w:rsidRPr="0006039A">
        <w:rPr>
          <w:rFonts w:ascii="Arial" w:hAnsi="Arial" w:cs="Arial"/>
          <w:sz w:val="24"/>
          <w:szCs w:val="24"/>
        </w:rPr>
        <w:t xml:space="preserve">uma vez que leva a um </w:t>
      </w:r>
      <w:r w:rsidR="006E690F" w:rsidRPr="0006039A">
        <w:rPr>
          <w:rFonts w:ascii="Arial" w:hAnsi="Arial" w:cs="Arial"/>
          <w:sz w:val="24"/>
          <w:szCs w:val="24"/>
        </w:rPr>
        <w:t>decréscimo do valor de PTH</w:t>
      </w:r>
      <w:r w:rsidR="00152891" w:rsidRPr="0006039A">
        <w:rPr>
          <w:rFonts w:ascii="Arial" w:hAnsi="Arial" w:cs="Arial"/>
          <w:sz w:val="24"/>
          <w:szCs w:val="24"/>
        </w:rPr>
        <w:t xml:space="preserve"> e</w:t>
      </w:r>
      <w:r w:rsidR="004A2E87" w:rsidRPr="0006039A">
        <w:rPr>
          <w:rFonts w:ascii="Arial" w:hAnsi="Arial" w:cs="Arial"/>
          <w:sz w:val="24"/>
          <w:szCs w:val="24"/>
        </w:rPr>
        <w:t xml:space="preserve"> a uma</w:t>
      </w:r>
      <w:r w:rsidR="00152891" w:rsidRPr="0006039A">
        <w:rPr>
          <w:rFonts w:ascii="Arial" w:hAnsi="Arial" w:cs="Arial"/>
          <w:sz w:val="24"/>
          <w:szCs w:val="24"/>
        </w:rPr>
        <w:t xml:space="preserve"> </w:t>
      </w:r>
      <w:r w:rsidR="006E690F" w:rsidRPr="0006039A">
        <w:rPr>
          <w:rFonts w:ascii="Arial" w:hAnsi="Arial" w:cs="Arial"/>
          <w:sz w:val="24"/>
          <w:szCs w:val="24"/>
        </w:rPr>
        <w:t>diminu</w:t>
      </w:r>
      <w:r w:rsidR="00152891" w:rsidRPr="0006039A">
        <w:rPr>
          <w:rFonts w:ascii="Arial" w:hAnsi="Arial" w:cs="Arial"/>
          <w:sz w:val="24"/>
          <w:szCs w:val="24"/>
        </w:rPr>
        <w:t>ição da desmineralização óssea, sem aume</w:t>
      </w:r>
      <w:r w:rsidR="00FC78A9">
        <w:rPr>
          <w:rFonts w:ascii="Arial" w:hAnsi="Arial" w:cs="Arial"/>
          <w:sz w:val="24"/>
          <w:szCs w:val="24"/>
        </w:rPr>
        <w:t xml:space="preserve">nto da </w:t>
      </w:r>
      <w:proofErr w:type="spellStart"/>
      <w:r w:rsidR="00FC78A9">
        <w:rPr>
          <w:rFonts w:ascii="Arial" w:hAnsi="Arial" w:cs="Arial"/>
          <w:sz w:val="24"/>
          <w:szCs w:val="24"/>
        </w:rPr>
        <w:t>calcémia</w:t>
      </w:r>
      <w:proofErr w:type="spellEnd"/>
      <w:r w:rsidR="00FC78A9">
        <w:rPr>
          <w:rFonts w:ascii="Arial" w:hAnsi="Arial" w:cs="Arial"/>
          <w:sz w:val="24"/>
          <w:szCs w:val="24"/>
        </w:rPr>
        <w:t xml:space="preserve"> ou da calciúria </w:t>
      </w:r>
      <w:r w:rsidR="00FC78A9" w:rsidRPr="00FC78A9">
        <w:rPr>
          <w:rFonts w:ascii="Arial" w:hAnsi="Arial" w:cs="Arial"/>
          <w:sz w:val="24"/>
          <w:szCs w:val="24"/>
          <w:vertAlign w:val="superscript"/>
        </w:rPr>
        <w:t>6</w:t>
      </w:r>
      <w:r w:rsidR="00FC78A9">
        <w:rPr>
          <w:rFonts w:ascii="Arial" w:hAnsi="Arial" w:cs="Arial"/>
          <w:sz w:val="24"/>
          <w:szCs w:val="24"/>
          <w:vertAlign w:val="superscript"/>
        </w:rPr>
        <w:t>-</w:t>
      </w:r>
      <w:r w:rsidR="00FC78A9" w:rsidRPr="00FC78A9">
        <w:rPr>
          <w:rFonts w:ascii="Arial" w:hAnsi="Arial" w:cs="Arial"/>
          <w:sz w:val="24"/>
          <w:szCs w:val="24"/>
          <w:vertAlign w:val="superscript"/>
        </w:rPr>
        <w:t>7</w:t>
      </w:r>
      <w:r w:rsidR="00FC78A9">
        <w:rPr>
          <w:rFonts w:ascii="Arial" w:hAnsi="Arial" w:cs="Arial"/>
          <w:sz w:val="24"/>
          <w:szCs w:val="24"/>
        </w:rPr>
        <w:t>.</w:t>
      </w:r>
    </w:p>
    <w:p w:rsidR="00B62D92" w:rsidRDefault="00B62D92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257F" w:rsidRDefault="0095257F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Na idade pediátrica os sintomas ao diagnóstico de HPTP estão presentes em 80% dos casos e </w:t>
      </w:r>
      <w:r w:rsidR="008960EB" w:rsidRPr="0098325E">
        <w:rPr>
          <w:rFonts w:ascii="Arial" w:hAnsi="Arial" w:cs="Arial"/>
          <w:sz w:val="24"/>
          <w:szCs w:val="24"/>
        </w:rPr>
        <w:t xml:space="preserve">a </w:t>
      </w:r>
      <w:r w:rsidRPr="0098325E">
        <w:rPr>
          <w:rFonts w:ascii="Arial" w:hAnsi="Arial" w:cs="Arial"/>
          <w:sz w:val="24"/>
          <w:szCs w:val="24"/>
        </w:rPr>
        <w:t>lesão de órgão alvo em 40%, associados ao aumento da calcémia</w:t>
      </w:r>
      <w:r w:rsidR="00362182" w:rsidRPr="00362182">
        <w:rPr>
          <w:rFonts w:ascii="Arial" w:hAnsi="Arial" w:cs="Arial"/>
          <w:sz w:val="24"/>
          <w:szCs w:val="24"/>
          <w:vertAlign w:val="superscript"/>
        </w:rPr>
        <w:t>2-</w:t>
      </w:r>
      <w:r w:rsidR="005B7B45" w:rsidRPr="00362182">
        <w:rPr>
          <w:rFonts w:ascii="Arial" w:hAnsi="Arial" w:cs="Arial"/>
          <w:sz w:val="24"/>
          <w:szCs w:val="24"/>
          <w:vertAlign w:val="superscript"/>
        </w:rPr>
        <w:t>3</w:t>
      </w:r>
      <w:r w:rsidRPr="0098325E">
        <w:rPr>
          <w:rFonts w:ascii="Arial" w:hAnsi="Arial" w:cs="Arial"/>
          <w:sz w:val="24"/>
          <w:szCs w:val="24"/>
        </w:rPr>
        <w:t xml:space="preserve">. Embora apresente um envolvimento </w:t>
      </w:r>
      <w:proofErr w:type="spellStart"/>
      <w:r w:rsidRPr="0098325E">
        <w:rPr>
          <w:rFonts w:ascii="Arial" w:hAnsi="Arial" w:cs="Arial"/>
          <w:sz w:val="24"/>
          <w:szCs w:val="24"/>
        </w:rPr>
        <w:t>multissistémico</w:t>
      </w:r>
      <w:proofErr w:type="spellEnd"/>
      <w:r w:rsidR="00373F29" w:rsidRPr="0098325E">
        <w:rPr>
          <w:rFonts w:ascii="Arial" w:hAnsi="Arial" w:cs="Arial"/>
          <w:sz w:val="24"/>
          <w:szCs w:val="24"/>
        </w:rPr>
        <w:t>,</w:t>
      </w:r>
      <w:r w:rsidRPr="0098325E">
        <w:rPr>
          <w:rFonts w:ascii="Arial" w:hAnsi="Arial" w:cs="Arial"/>
          <w:sz w:val="24"/>
          <w:szCs w:val="24"/>
        </w:rPr>
        <w:t xml:space="preserve"> o rim e o osso são os </w:t>
      </w:r>
      <w:r w:rsidR="006275E4" w:rsidRPr="0098325E">
        <w:rPr>
          <w:rFonts w:ascii="Arial" w:hAnsi="Arial" w:cs="Arial"/>
          <w:sz w:val="24"/>
          <w:szCs w:val="24"/>
        </w:rPr>
        <w:t xml:space="preserve">órgãos mais afetados. </w:t>
      </w:r>
      <w:r w:rsidR="00692E9D" w:rsidRPr="008507F3">
        <w:rPr>
          <w:rFonts w:ascii="Arial" w:hAnsi="Arial" w:cs="Arial"/>
          <w:sz w:val="24"/>
          <w:szCs w:val="24"/>
        </w:rPr>
        <w:t>N</w:t>
      </w:r>
      <w:r w:rsidR="00A63183" w:rsidRPr="008507F3">
        <w:rPr>
          <w:rFonts w:ascii="Arial" w:hAnsi="Arial" w:cs="Arial"/>
          <w:sz w:val="24"/>
          <w:szCs w:val="24"/>
        </w:rPr>
        <w:t xml:space="preserve">o rim cursa, habitualmente, com litíase renal e mais raramente </w:t>
      </w:r>
      <w:r w:rsidR="008507F3" w:rsidRPr="008507F3">
        <w:rPr>
          <w:rFonts w:ascii="Arial" w:hAnsi="Arial" w:cs="Arial"/>
          <w:sz w:val="24"/>
          <w:szCs w:val="24"/>
        </w:rPr>
        <w:t xml:space="preserve">com </w:t>
      </w:r>
      <w:proofErr w:type="spellStart"/>
      <w:r w:rsidR="00A63183" w:rsidRPr="008507F3">
        <w:rPr>
          <w:rFonts w:ascii="Arial" w:hAnsi="Arial" w:cs="Arial"/>
          <w:sz w:val="24"/>
          <w:szCs w:val="24"/>
        </w:rPr>
        <w:t>nefrocalcinose</w:t>
      </w:r>
      <w:proofErr w:type="spellEnd"/>
      <w:r w:rsidR="00A63183" w:rsidRPr="008507F3">
        <w:rPr>
          <w:rFonts w:ascii="Arial" w:hAnsi="Arial" w:cs="Arial"/>
          <w:sz w:val="24"/>
          <w:szCs w:val="24"/>
        </w:rPr>
        <w:t xml:space="preserve"> ou disfunção tubular renal. No osso</w:t>
      </w:r>
      <w:r w:rsidR="00692E9D" w:rsidRPr="008507F3">
        <w:rPr>
          <w:rFonts w:ascii="Arial" w:hAnsi="Arial" w:cs="Arial"/>
          <w:sz w:val="24"/>
          <w:szCs w:val="24"/>
        </w:rPr>
        <w:t>,</w:t>
      </w:r>
      <w:r w:rsidR="00A63183" w:rsidRPr="008507F3">
        <w:rPr>
          <w:rFonts w:ascii="Arial" w:hAnsi="Arial" w:cs="Arial"/>
          <w:sz w:val="24"/>
          <w:szCs w:val="24"/>
        </w:rPr>
        <w:t xml:space="preserve"> leva a uma remodelação e desmineralização óssea resultando, nos casos mais graves, em fraturas patológicas e</w:t>
      </w:r>
      <w:r w:rsidR="004A174D" w:rsidRPr="008507F3">
        <w:rPr>
          <w:rFonts w:ascii="Arial" w:hAnsi="Arial" w:cs="Arial"/>
          <w:sz w:val="24"/>
          <w:szCs w:val="24"/>
        </w:rPr>
        <w:t xml:space="preserve"> em</w:t>
      </w:r>
      <w:r w:rsidR="00A63183" w:rsidRPr="008507F3">
        <w:rPr>
          <w:rFonts w:ascii="Arial" w:hAnsi="Arial" w:cs="Arial"/>
          <w:sz w:val="24"/>
          <w:szCs w:val="24"/>
        </w:rPr>
        <w:t xml:space="preserve"> osteíte fibrose </w:t>
      </w:r>
      <w:proofErr w:type="spellStart"/>
      <w:r w:rsidR="00A63183" w:rsidRPr="008507F3">
        <w:rPr>
          <w:rFonts w:ascii="Arial" w:hAnsi="Arial" w:cs="Arial"/>
          <w:sz w:val="24"/>
          <w:szCs w:val="24"/>
        </w:rPr>
        <w:t>quística</w:t>
      </w:r>
      <w:proofErr w:type="spellEnd"/>
      <w:r w:rsidR="00A63183" w:rsidRPr="008507F3">
        <w:rPr>
          <w:rFonts w:ascii="Arial" w:hAnsi="Arial" w:cs="Arial"/>
          <w:sz w:val="24"/>
          <w:szCs w:val="24"/>
        </w:rPr>
        <w:t xml:space="preserve">. </w:t>
      </w:r>
      <w:r w:rsidR="00373F29" w:rsidRPr="0098325E">
        <w:rPr>
          <w:rFonts w:ascii="Arial" w:hAnsi="Arial" w:cs="Arial"/>
          <w:sz w:val="24"/>
          <w:szCs w:val="24"/>
        </w:rPr>
        <w:t>Sintomas de cará</w:t>
      </w:r>
      <w:r w:rsidR="00D4399C" w:rsidRPr="0098325E">
        <w:rPr>
          <w:rFonts w:ascii="Arial" w:hAnsi="Arial" w:cs="Arial"/>
          <w:sz w:val="24"/>
          <w:szCs w:val="24"/>
        </w:rPr>
        <w:t>c</w:t>
      </w:r>
      <w:r w:rsidRPr="0098325E">
        <w:rPr>
          <w:rFonts w:ascii="Arial" w:hAnsi="Arial" w:cs="Arial"/>
          <w:sz w:val="24"/>
          <w:szCs w:val="24"/>
        </w:rPr>
        <w:t>ter geral</w:t>
      </w:r>
      <w:r w:rsidR="00373F29" w:rsidRPr="0098325E">
        <w:rPr>
          <w:rFonts w:ascii="Arial" w:hAnsi="Arial" w:cs="Arial"/>
          <w:sz w:val="24"/>
          <w:szCs w:val="24"/>
        </w:rPr>
        <w:t>,</w:t>
      </w:r>
      <w:r w:rsidRPr="0098325E">
        <w:rPr>
          <w:rFonts w:ascii="Arial" w:hAnsi="Arial" w:cs="Arial"/>
          <w:sz w:val="24"/>
          <w:szCs w:val="24"/>
        </w:rPr>
        <w:t xml:space="preserve"> como fraqueza muscular, fadiga, cefaleia, anorexia, dor abdominal, náuseas, vómitos e perda de peso</w:t>
      </w:r>
      <w:r w:rsidR="00373F29" w:rsidRPr="0098325E">
        <w:rPr>
          <w:rFonts w:ascii="Arial" w:hAnsi="Arial" w:cs="Arial"/>
          <w:sz w:val="24"/>
          <w:szCs w:val="24"/>
        </w:rPr>
        <w:t>,</w:t>
      </w:r>
      <w:r w:rsidRPr="0098325E">
        <w:rPr>
          <w:rFonts w:ascii="Arial" w:hAnsi="Arial" w:cs="Arial"/>
          <w:sz w:val="24"/>
          <w:szCs w:val="24"/>
        </w:rPr>
        <w:t xml:space="preserve"> podem </w:t>
      </w:r>
      <w:r w:rsidR="00373F29" w:rsidRPr="0098325E">
        <w:rPr>
          <w:rFonts w:ascii="Arial" w:hAnsi="Arial" w:cs="Arial"/>
          <w:sz w:val="24"/>
          <w:szCs w:val="24"/>
        </w:rPr>
        <w:t xml:space="preserve">também </w:t>
      </w:r>
      <w:r w:rsidRPr="0098325E">
        <w:rPr>
          <w:rFonts w:ascii="Arial" w:hAnsi="Arial" w:cs="Arial"/>
          <w:sz w:val="24"/>
          <w:szCs w:val="24"/>
        </w:rPr>
        <w:t xml:space="preserve">estar </w:t>
      </w:r>
      <w:r w:rsidRPr="00362182">
        <w:rPr>
          <w:rFonts w:ascii="Arial" w:hAnsi="Arial" w:cs="Arial"/>
          <w:sz w:val="24"/>
          <w:szCs w:val="24"/>
        </w:rPr>
        <w:t>presentes</w:t>
      </w:r>
      <w:r w:rsidR="00EE6E19" w:rsidRPr="00362182">
        <w:rPr>
          <w:rFonts w:ascii="Arial" w:hAnsi="Arial" w:cs="Arial"/>
          <w:sz w:val="24"/>
          <w:szCs w:val="24"/>
          <w:vertAlign w:val="superscript"/>
        </w:rPr>
        <w:t>1</w:t>
      </w:r>
      <w:r w:rsidR="005B7B45" w:rsidRPr="00362182">
        <w:rPr>
          <w:rFonts w:ascii="Arial" w:hAnsi="Arial" w:cs="Arial"/>
          <w:sz w:val="24"/>
          <w:szCs w:val="24"/>
          <w:vertAlign w:val="superscript"/>
        </w:rPr>
        <w:t>,5</w:t>
      </w:r>
      <w:r w:rsidR="009C78E9" w:rsidRPr="00362182">
        <w:rPr>
          <w:rFonts w:ascii="Arial" w:hAnsi="Arial" w:cs="Arial"/>
          <w:sz w:val="24"/>
          <w:szCs w:val="24"/>
          <w:vertAlign w:val="superscript"/>
        </w:rPr>
        <w:t>,</w:t>
      </w:r>
      <w:r w:rsidR="00FC78A9">
        <w:rPr>
          <w:rFonts w:ascii="Arial" w:hAnsi="Arial" w:cs="Arial"/>
          <w:sz w:val="24"/>
          <w:szCs w:val="24"/>
          <w:vertAlign w:val="superscript"/>
        </w:rPr>
        <w:t>9</w:t>
      </w:r>
      <w:r w:rsidRPr="0098325E">
        <w:rPr>
          <w:rFonts w:ascii="Arial" w:hAnsi="Arial" w:cs="Arial"/>
          <w:sz w:val="24"/>
          <w:szCs w:val="24"/>
        </w:rPr>
        <w:t xml:space="preserve">. </w:t>
      </w:r>
    </w:p>
    <w:p w:rsidR="00A63183" w:rsidRDefault="0095257F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Embora na maioria dos casos seja </w:t>
      </w:r>
      <w:r w:rsidR="00565831" w:rsidRPr="0098325E">
        <w:rPr>
          <w:rFonts w:ascii="Arial" w:hAnsi="Arial" w:cs="Arial"/>
          <w:sz w:val="24"/>
          <w:szCs w:val="24"/>
        </w:rPr>
        <w:t>esporádico</w:t>
      </w:r>
      <w:r w:rsidR="00653775" w:rsidRPr="0098325E">
        <w:rPr>
          <w:rFonts w:ascii="Arial" w:hAnsi="Arial" w:cs="Arial"/>
          <w:sz w:val="24"/>
          <w:szCs w:val="24"/>
        </w:rPr>
        <w:t xml:space="preserve"> e be</w:t>
      </w:r>
      <w:r w:rsidR="00565831" w:rsidRPr="0098325E">
        <w:rPr>
          <w:rFonts w:ascii="Arial" w:hAnsi="Arial" w:cs="Arial"/>
          <w:sz w:val="24"/>
          <w:szCs w:val="24"/>
        </w:rPr>
        <w:t>nigno</w:t>
      </w:r>
      <w:r w:rsidRPr="0098325E">
        <w:rPr>
          <w:rFonts w:ascii="Arial" w:hAnsi="Arial" w:cs="Arial"/>
          <w:sz w:val="24"/>
          <w:szCs w:val="24"/>
        </w:rPr>
        <w:t xml:space="preserve">, </w:t>
      </w:r>
      <w:r w:rsidR="00653775" w:rsidRPr="0098325E">
        <w:rPr>
          <w:rFonts w:ascii="Arial" w:hAnsi="Arial" w:cs="Arial"/>
          <w:sz w:val="24"/>
          <w:szCs w:val="24"/>
        </w:rPr>
        <w:t xml:space="preserve">podem ocorrer </w:t>
      </w:r>
      <w:r w:rsidRPr="0098325E">
        <w:rPr>
          <w:rFonts w:ascii="Arial" w:hAnsi="Arial" w:cs="Arial"/>
          <w:sz w:val="24"/>
          <w:szCs w:val="24"/>
        </w:rPr>
        <w:t>formas familiares e malignas</w:t>
      </w:r>
      <w:r w:rsidR="00565831" w:rsidRPr="0098325E">
        <w:rPr>
          <w:rFonts w:ascii="Arial" w:hAnsi="Arial" w:cs="Arial"/>
          <w:sz w:val="24"/>
          <w:szCs w:val="24"/>
        </w:rPr>
        <w:t xml:space="preserve"> de HPTP</w:t>
      </w:r>
      <w:r w:rsidR="00CA2381" w:rsidRPr="00362182">
        <w:rPr>
          <w:rFonts w:ascii="Arial" w:hAnsi="Arial" w:cs="Arial"/>
          <w:sz w:val="24"/>
          <w:szCs w:val="24"/>
          <w:vertAlign w:val="superscript"/>
        </w:rPr>
        <w:t>1,</w:t>
      </w:r>
      <w:r w:rsidR="005B7B45" w:rsidRPr="00362182">
        <w:rPr>
          <w:rFonts w:ascii="Arial" w:hAnsi="Arial" w:cs="Arial"/>
          <w:sz w:val="24"/>
          <w:szCs w:val="24"/>
          <w:vertAlign w:val="superscript"/>
        </w:rPr>
        <w:t>3</w:t>
      </w:r>
      <w:r w:rsidR="00CA2381" w:rsidRPr="00362182">
        <w:rPr>
          <w:rFonts w:ascii="Arial" w:hAnsi="Arial" w:cs="Arial"/>
          <w:sz w:val="24"/>
          <w:szCs w:val="24"/>
          <w:vertAlign w:val="superscript"/>
        </w:rPr>
        <w:t>,</w:t>
      </w:r>
      <w:r w:rsidR="00FC78A9">
        <w:rPr>
          <w:rFonts w:ascii="Arial" w:hAnsi="Arial" w:cs="Arial"/>
          <w:sz w:val="24"/>
          <w:szCs w:val="24"/>
          <w:vertAlign w:val="superscript"/>
        </w:rPr>
        <w:t>8</w:t>
      </w:r>
      <w:r w:rsidR="00362182">
        <w:rPr>
          <w:rFonts w:ascii="Arial" w:hAnsi="Arial" w:cs="Arial"/>
          <w:sz w:val="24"/>
          <w:szCs w:val="24"/>
          <w:vertAlign w:val="superscript"/>
        </w:rPr>
        <w:t>-</w:t>
      </w:r>
      <w:r w:rsidR="00FC78A9">
        <w:rPr>
          <w:rFonts w:ascii="Arial" w:hAnsi="Arial" w:cs="Arial"/>
          <w:sz w:val="24"/>
          <w:szCs w:val="24"/>
          <w:vertAlign w:val="superscript"/>
        </w:rPr>
        <w:t>9</w:t>
      </w:r>
      <w:r w:rsidRPr="009832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98325E">
        <w:rPr>
          <w:rFonts w:ascii="Arial" w:hAnsi="Arial" w:cs="Arial"/>
          <w:sz w:val="24"/>
          <w:szCs w:val="24"/>
        </w:rPr>
        <w:t>Estas</w:t>
      </w:r>
      <w:r w:rsidRPr="0098325E">
        <w:rPr>
          <w:rFonts w:ascii="Arial" w:hAnsi="Arial" w:cs="Arial"/>
          <w:color w:val="00B050"/>
          <w:sz w:val="24"/>
          <w:szCs w:val="24"/>
        </w:rPr>
        <w:t xml:space="preserve"> </w:t>
      </w:r>
      <w:r w:rsidRPr="0098325E">
        <w:rPr>
          <w:rFonts w:ascii="Arial" w:hAnsi="Arial" w:cs="Arial"/>
          <w:sz w:val="24"/>
          <w:szCs w:val="24"/>
        </w:rPr>
        <w:t xml:space="preserve">associam-se a idade precoce, história familiar, alterações histológicas de hiperplasia, </w:t>
      </w:r>
      <w:r w:rsidR="00C235EB" w:rsidRPr="0098325E">
        <w:rPr>
          <w:rFonts w:ascii="Arial" w:hAnsi="Arial" w:cs="Arial"/>
          <w:sz w:val="24"/>
          <w:szCs w:val="24"/>
        </w:rPr>
        <w:t>presença de</w:t>
      </w:r>
      <w:r w:rsidRPr="0098325E">
        <w:rPr>
          <w:rFonts w:ascii="Arial" w:hAnsi="Arial" w:cs="Arial"/>
          <w:sz w:val="24"/>
          <w:szCs w:val="24"/>
        </w:rPr>
        <w:t xml:space="preserve"> outros tumores, envolvimento </w:t>
      </w:r>
      <w:proofErr w:type="spellStart"/>
      <w:r w:rsidRPr="0098325E">
        <w:rPr>
          <w:rFonts w:ascii="Arial" w:hAnsi="Arial" w:cs="Arial"/>
          <w:sz w:val="24"/>
          <w:szCs w:val="24"/>
        </w:rPr>
        <w:t>multiglandular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, início tardio dos sintomas, </w:t>
      </w:r>
      <w:proofErr w:type="spellStart"/>
      <w:r w:rsidRPr="0098325E">
        <w:rPr>
          <w:rFonts w:ascii="Arial" w:hAnsi="Arial" w:cs="Arial"/>
          <w:sz w:val="24"/>
          <w:szCs w:val="24"/>
        </w:rPr>
        <w:t>hipercalcémia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grave e</w:t>
      </w:r>
      <w:r w:rsidR="00E3281B" w:rsidRPr="0098325E">
        <w:rPr>
          <w:rFonts w:ascii="Arial" w:hAnsi="Arial" w:cs="Arial"/>
          <w:sz w:val="24"/>
          <w:szCs w:val="24"/>
        </w:rPr>
        <w:t xml:space="preserve"> maior risco de recorrência pós-</w:t>
      </w:r>
      <w:r w:rsidRPr="0098325E">
        <w:rPr>
          <w:rFonts w:ascii="Arial" w:hAnsi="Arial" w:cs="Arial"/>
          <w:sz w:val="24"/>
          <w:szCs w:val="24"/>
        </w:rPr>
        <w:t>cirúrgica</w:t>
      </w:r>
      <w:r w:rsidR="005B7B45" w:rsidRPr="00362182">
        <w:rPr>
          <w:rFonts w:ascii="Arial" w:hAnsi="Arial" w:cs="Arial"/>
          <w:sz w:val="24"/>
          <w:szCs w:val="24"/>
          <w:vertAlign w:val="superscript"/>
        </w:rPr>
        <w:t>5</w:t>
      </w:r>
      <w:r w:rsidRPr="0098325E">
        <w:rPr>
          <w:rFonts w:ascii="Arial" w:hAnsi="Arial" w:cs="Arial"/>
          <w:sz w:val="24"/>
          <w:szCs w:val="24"/>
        </w:rPr>
        <w:t xml:space="preserve">. </w:t>
      </w:r>
    </w:p>
    <w:p w:rsidR="00A63183" w:rsidRDefault="00A63183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07F3">
        <w:rPr>
          <w:rFonts w:ascii="Arial" w:hAnsi="Arial" w:cs="Arial"/>
          <w:sz w:val="24"/>
          <w:szCs w:val="24"/>
        </w:rPr>
        <w:t>A neopl</w:t>
      </w:r>
      <w:r w:rsidR="00016457">
        <w:rPr>
          <w:rFonts w:ascii="Arial" w:hAnsi="Arial" w:cs="Arial"/>
          <w:sz w:val="24"/>
          <w:szCs w:val="24"/>
        </w:rPr>
        <w:t>a</w:t>
      </w:r>
      <w:r w:rsidRPr="008507F3">
        <w:rPr>
          <w:rFonts w:ascii="Arial" w:hAnsi="Arial" w:cs="Arial"/>
          <w:sz w:val="24"/>
          <w:szCs w:val="24"/>
        </w:rPr>
        <w:t xml:space="preserve">sia endócrina múltipla (MEN1 e 2) apresenta uma transmissão </w:t>
      </w:r>
      <w:proofErr w:type="spellStart"/>
      <w:r w:rsidRPr="008507F3">
        <w:rPr>
          <w:rFonts w:ascii="Arial" w:hAnsi="Arial" w:cs="Arial"/>
          <w:sz w:val="24"/>
          <w:szCs w:val="24"/>
        </w:rPr>
        <w:t>autossomica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 dominante. No caso da MEN 1, o gene envolvido é o MEN1 presente no cromossoma 11 (mutação MENIN) e caracteriza-se por hiperplasia ou neoplasia </w:t>
      </w:r>
      <w:proofErr w:type="spellStart"/>
      <w:r w:rsidRPr="008507F3">
        <w:rPr>
          <w:rFonts w:ascii="Arial" w:hAnsi="Arial" w:cs="Arial"/>
          <w:sz w:val="24"/>
          <w:szCs w:val="24"/>
        </w:rPr>
        <w:t>neuroendócrina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 do pâncreas e aparelho gastrointestinal, adenomas da hipófise anterior, hiperplasia da suprarrenal e das glândulas </w:t>
      </w:r>
      <w:proofErr w:type="spellStart"/>
      <w:r w:rsidRPr="008507F3">
        <w:rPr>
          <w:rFonts w:ascii="Arial" w:hAnsi="Arial" w:cs="Arial"/>
          <w:sz w:val="24"/>
          <w:szCs w:val="24"/>
        </w:rPr>
        <w:t>paratiroideias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. No caso da MEN 2A o gene envolvido é o MEN2A, no cromossoma 10 (mutação RET), associado a hiperplasia das glândulas </w:t>
      </w:r>
      <w:proofErr w:type="spellStart"/>
      <w:r w:rsidRPr="008507F3">
        <w:rPr>
          <w:rFonts w:ascii="Arial" w:hAnsi="Arial" w:cs="Arial"/>
          <w:sz w:val="24"/>
          <w:szCs w:val="24"/>
        </w:rPr>
        <w:t>paratiroideias</w:t>
      </w:r>
      <w:proofErr w:type="spellEnd"/>
      <w:r w:rsidRPr="008507F3">
        <w:rPr>
          <w:rFonts w:ascii="Arial" w:hAnsi="Arial" w:cs="Arial"/>
          <w:sz w:val="24"/>
          <w:szCs w:val="24"/>
        </w:rPr>
        <w:t>, feocromocitoma e carcinoma medular da tiróide</w:t>
      </w:r>
      <w:r w:rsidRPr="008507F3">
        <w:rPr>
          <w:rFonts w:ascii="Arial" w:hAnsi="Arial" w:cs="Arial"/>
          <w:sz w:val="24"/>
          <w:szCs w:val="24"/>
          <w:vertAlign w:val="superscript"/>
        </w:rPr>
        <w:t>1-2</w:t>
      </w:r>
      <w:r w:rsidRPr="008507F3">
        <w:rPr>
          <w:rFonts w:ascii="Arial" w:hAnsi="Arial" w:cs="Arial"/>
          <w:sz w:val="24"/>
          <w:szCs w:val="24"/>
        </w:rPr>
        <w:t>.</w:t>
      </w:r>
    </w:p>
    <w:p w:rsidR="0095257F" w:rsidRPr="0098325E" w:rsidRDefault="0095257F" w:rsidP="008507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Outras formas familiares são a neoplasia endócrina múltipla não-MEN associada a alterações </w:t>
      </w:r>
      <w:proofErr w:type="spellStart"/>
      <w:r w:rsidRPr="0098325E">
        <w:rPr>
          <w:rFonts w:ascii="Arial" w:hAnsi="Arial" w:cs="Arial"/>
          <w:sz w:val="24"/>
          <w:szCs w:val="24"/>
        </w:rPr>
        <w:t>adenomatosas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e </w:t>
      </w:r>
      <w:r w:rsidR="00843DED" w:rsidRPr="0098325E">
        <w:rPr>
          <w:rFonts w:ascii="Arial" w:hAnsi="Arial" w:cs="Arial"/>
          <w:sz w:val="24"/>
          <w:szCs w:val="24"/>
        </w:rPr>
        <w:t>a</w:t>
      </w:r>
      <w:r w:rsidRPr="0098325E">
        <w:rPr>
          <w:rFonts w:ascii="Arial" w:hAnsi="Arial" w:cs="Arial"/>
          <w:sz w:val="24"/>
          <w:szCs w:val="24"/>
        </w:rPr>
        <w:t xml:space="preserve"> síndrome </w:t>
      </w:r>
      <w:r w:rsidR="00F84E50" w:rsidRPr="0098325E">
        <w:rPr>
          <w:rFonts w:ascii="Arial" w:hAnsi="Arial" w:cs="Arial"/>
          <w:sz w:val="24"/>
          <w:szCs w:val="24"/>
        </w:rPr>
        <w:t>do tumor da mandí</w:t>
      </w:r>
      <w:r w:rsidRPr="0098325E">
        <w:rPr>
          <w:rFonts w:ascii="Arial" w:hAnsi="Arial" w:cs="Arial"/>
          <w:sz w:val="24"/>
          <w:szCs w:val="24"/>
        </w:rPr>
        <w:t xml:space="preserve">bula associado ao </w:t>
      </w:r>
      <w:r w:rsidRPr="0098325E">
        <w:rPr>
          <w:rFonts w:ascii="Arial" w:hAnsi="Arial" w:cs="Arial"/>
          <w:sz w:val="24"/>
          <w:szCs w:val="24"/>
        </w:rPr>
        <w:lastRenderedPageBreak/>
        <w:t xml:space="preserve">hipertiroidismo caracterizado por adenoma da glândula </w:t>
      </w:r>
      <w:proofErr w:type="spellStart"/>
      <w:r w:rsidRPr="0098325E">
        <w:rPr>
          <w:rFonts w:ascii="Arial" w:hAnsi="Arial" w:cs="Arial"/>
          <w:sz w:val="24"/>
          <w:szCs w:val="24"/>
        </w:rPr>
        <w:t>paratiroideia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, tumores </w:t>
      </w:r>
      <w:proofErr w:type="spellStart"/>
      <w:r w:rsidRPr="0098325E">
        <w:rPr>
          <w:rFonts w:ascii="Arial" w:hAnsi="Arial" w:cs="Arial"/>
          <w:sz w:val="24"/>
          <w:szCs w:val="24"/>
        </w:rPr>
        <w:t>fibro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-ósseos mandibulares, doença </w:t>
      </w:r>
      <w:proofErr w:type="spellStart"/>
      <w:r w:rsidRPr="0098325E">
        <w:rPr>
          <w:rFonts w:ascii="Arial" w:hAnsi="Arial" w:cs="Arial"/>
          <w:sz w:val="24"/>
          <w:szCs w:val="24"/>
        </w:rPr>
        <w:t>poliquística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renal, </w:t>
      </w:r>
      <w:proofErr w:type="spellStart"/>
      <w:r w:rsidRPr="0098325E">
        <w:rPr>
          <w:rFonts w:ascii="Arial" w:hAnsi="Arial" w:cs="Arial"/>
          <w:sz w:val="24"/>
          <w:szCs w:val="24"/>
        </w:rPr>
        <w:t>hamartomas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renais e tumor de Wilms</w:t>
      </w:r>
      <w:r w:rsidR="00CA2381" w:rsidRPr="00362182">
        <w:rPr>
          <w:rFonts w:ascii="Arial" w:hAnsi="Arial" w:cs="Arial"/>
          <w:sz w:val="24"/>
          <w:szCs w:val="24"/>
          <w:vertAlign w:val="superscript"/>
        </w:rPr>
        <w:t>1</w:t>
      </w:r>
      <w:r w:rsidRPr="0098325E">
        <w:rPr>
          <w:rFonts w:ascii="Arial" w:hAnsi="Arial" w:cs="Arial"/>
          <w:sz w:val="24"/>
          <w:szCs w:val="24"/>
        </w:rPr>
        <w:t xml:space="preserve">. </w:t>
      </w:r>
    </w:p>
    <w:p w:rsidR="00A63183" w:rsidRDefault="00A63183" w:rsidP="008507F3">
      <w:pPr>
        <w:shd w:val="clear" w:color="auto" w:fill="FFFFF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07F3">
        <w:rPr>
          <w:rFonts w:ascii="Arial" w:hAnsi="Arial" w:cs="Arial"/>
          <w:sz w:val="24"/>
          <w:szCs w:val="24"/>
        </w:rPr>
        <w:t xml:space="preserve">O diagnóstico </w:t>
      </w:r>
      <w:r w:rsidR="00692E9D" w:rsidRPr="008507F3">
        <w:rPr>
          <w:rFonts w:ascii="Arial" w:hAnsi="Arial" w:cs="Arial"/>
          <w:sz w:val="24"/>
          <w:szCs w:val="24"/>
        </w:rPr>
        <w:t xml:space="preserve">de </w:t>
      </w:r>
      <w:r w:rsidR="000F0C67" w:rsidRPr="008507F3">
        <w:rPr>
          <w:rFonts w:ascii="Arial" w:hAnsi="Arial" w:cs="Arial"/>
          <w:sz w:val="24"/>
          <w:szCs w:val="24"/>
        </w:rPr>
        <w:t>HPTP</w:t>
      </w:r>
      <w:r w:rsidR="00692E9D" w:rsidRPr="008507F3">
        <w:rPr>
          <w:rFonts w:ascii="Arial" w:hAnsi="Arial" w:cs="Arial"/>
          <w:sz w:val="24"/>
          <w:szCs w:val="24"/>
        </w:rPr>
        <w:t xml:space="preserve"> é</w:t>
      </w:r>
      <w:r w:rsidRPr="008507F3">
        <w:rPr>
          <w:rFonts w:ascii="Arial" w:hAnsi="Arial" w:cs="Arial"/>
          <w:sz w:val="24"/>
          <w:szCs w:val="24"/>
        </w:rPr>
        <w:t xml:space="preserve"> estabelecido laboratorialmente pela elevação dos níveis séricos de cálcio e de PTH</w:t>
      </w:r>
      <w:r w:rsidR="00692E9D" w:rsidRPr="008507F3">
        <w:rPr>
          <w:rFonts w:ascii="Arial" w:hAnsi="Arial" w:cs="Arial"/>
          <w:sz w:val="24"/>
          <w:szCs w:val="24"/>
        </w:rPr>
        <w:t xml:space="preserve"> </w:t>
      </w:r>
      <w:r w:rsidR="000F0C67" w:rsidRPr="008507F3">
        <w:rPr>
          <w:rFonts w:ascii="Arial" w:hAnsi="Arial" w:cs="Arial"/>
          <w:sz w:val="24"/>
          <w:szCs w:val="24"/>
        </w:rPr>
        <w:t xml:space="preserve">e </w:t>
      </w:r>
      <w:r w:rsidRPr="008507F3">
        <w:rPr>
          <w:rFonts w:ascii="Arial" w:hAnsi="Arial" w:cs="Arial"/>
          <w:sz w:val="24"/>
          <w:szCs w:val="24"/>
        </w:rPr>
        <w:t xml:space="preserve">complementado </w:t>
      </w:r>
      <w:r w:rsidR="005E581B" w:rsidRPr="008507F3">
        <w:rPr>
          <w:rFonts w:ascii="Arial" w:hAnsi="Arial" w:cs="Arial"/>
          <w:sz w:val="24"/>
          <w:szCs w:val="24"/>
        </w:rPr>
        <w:t>por</w:t>
      </w:r>
      <w:r w:rsidRPr="008507F3">
        <w:rPr>
          <w:rFonts w:ascii="Arial" w:hAnsi="Arial" w:cs="Arial"/>
          <w:sz w:val="24"/>
          <w:szCs w:val="24"/>
        </w:rPr>
        <w:t xml:space="preserve"> ecografia cervical e cintigrafia das glândulas tiroideias e </w:t>
      </w:r>
      <w:proofErr w:type="spellStart"/>
      <w:r w:rsidR="008507F3" w:rsidRPr="008507F3">
        <w:rPr>
          <w:rFonts w:ascii="Arial" w:hAnsi="Arial" w:cs="Arial"/>
          <w:sz w:val="24"/>
          <w:szCs w:val="24"/>
        </w:rPr>
        <w:t>paratiroideias</w:t>
      </w:r>
      <w:proofErr w:type="spellEnd"/>
      <w:r w:rsidR="008507F3" w:rsidRPr="008507F3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="008507F3" w:rsidRPr="008507F3">
        <w:rPr>
          <w:rFonts w:ascii="Arial" w:hAnsi="Arial" w:cs="Arial"/>
          <w:sz w:val="24"/>
          <w:szCs w:val="24"/>
        </w:rPr>
        <w:t>radiofá</w:t>
      </w:r>
      <w:r w:rsidRPr="008507F3">
        <w:rPr>
          <w:rFonts w:ascii="Arial" w:hAnsi="Arial" w:cs="Arial"/>
          <w:sz w:val="24"/>
          <w:szCs w:val="24"/>
        </w:rPr>
        <w:t>rmaco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 tecnécio-</w:t>
      </w:r>
      <w:proofErr w:type="spellStart"/>
      <w:r w:rsidRPr="008507F3">
        <w:rPr>
          <w:rFonts w:ascii="Arial" w:hAnsi="Arial" w:cs="Arial"/>
          <w:sz w:val="24"/>
          <w:szCs w:val="24"/>
        </w:rPr>
        <w:t>sestamibi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. </w:t>
      </w:r>
      <w:r w:rsidR="00692E9D" w:rsidRPr="008507F3">
        <w:rPr>
          <w:rFonts w:ascii="Arial" w:hAnsi="Arial" w:cs="Arial"/>
          <w:sz w:val="24"/>
          <w:szCs w:val="24"/>
        </w:rPr>
        <w:t xml:space="preserve">Para avaliação da repercussão noutros órgãos </w:t>
      </w:r>
      <w:r w:rsidR="000F0C67" w:rsidRPr="008507F3">
        <w:rPr>
          <w:rFonts w:ascii="Arial" w:hAnsi="Arial" w:cs="Arial"/>
          <w:sz w:val="24"/>
          <w:szCs w:val="24"/>
        </w:rPr>
        <w:t xml:space="preserve">poderá </w:t>
      </w:r>
      <w:r w:rsidR="008507F3" w:rsidRPr="008507F3">
        <w:rPr>
          <w:rFonts w:ascii="Arial" w:hAnsi="Arial" w:cs="Arial"/>
          <w:sz w:val="24"/>
          <w:szCs w:val="24"/>
        </w:rPr>
        <w:t>justificar-se</w:t>
      </w:r>
      <w:r w:rsidR="00692E9D" w:rsidRPr="008507F3">
        <w:rPr>
          <w:rFonts w:ascii="Arial" w:hAnsi="Arial" w:cs="Arial"/>
          <w:sz w:val="24"/>
          <w:szCs w:val="24"/>
        </w:rPr>
        <w:t xml:space="preserve"> a realização de o</w:t>
      </w:r>
      <w:r w:rsidRPr="008507F3">
        <w:rPr>
          <w:rFonts w:ascii="Arial" w:hAnsi="Arial" w:cs="Arial"/>
          <w:sz w:val="24"/>
          <w:szCs w:val="24"/>
        </w:rPr>
        <w:t>utro</w:t>
      </w:r>
      <w:r w:rsidR="00692E9D" w:rsidRPr="008507F3">
        <w:rPr>
          <w:rFonts w:ascii="Arial" w:hAnsi="Arial" w:cs="Arial"/>
          <w:sz w:val="24"/>
          <w:szCs w:val="24"/>
        </w:rPr>
        <w:t>s</w:t>
      </w:r>
      <w:r w:rsidRPr="008507F3">
        <w:rPr>
          <w:rFonts w:ascii="Arial" w:hAnsi="Arial" w:cs="Arial"/>
          <w:sz w:val="24"/>
          <w:szCs w:val="24"/>
        </w:rPr>
        <w:t xml:space="preserve"> exame</w:t>
      </w:r>
      <w:r w:rsidR="00692E9D" w:rsidRPr="008507F3">
        <w:rPr>
          <w:rFonts w:ascii="Arial" w:hAnsi="Arial" w:cs="Arial"/>
          <w:sz w:val="24"/>
          <w:szCs w:val="24"/>
        </w:rPr>
        <w:t xml:space="preserve">s complementares de diagnóstico. </w:t>
      </w:r>
      <w:r w:rsidRPr="008507F3">
        <w:rPr>
          <w:rFonts w:ascii="Arial" w:hAnsi="Arial" w:cs="Arial"/>
          <w:sz w:val="24"/>
          <w:szCs w:val="24"/>
        </w:rPr>
        <w:t xml:space="preserve">A diminuição sérica do fósforo e magnésio e o aumento do ácido úrico e da creatinina refletem o atingimento da função renal, </w:t>
      </w:r>
      <w:proofErr w:type="gramStart"/>
      <w:r w:rsidRPr="008507F3">
        <w:rPr>
          <w:rFonts w:ascii="Arial" w:hAnsi="Arial" w:cs="Arial"/>
          <w:sz w:val="24"/>
          <w:szCs w:val="24"/>
        </w:rPr>
        <w:t>enquanto que</w:t>
      </w:r>
      <w:proofErr w:type="gramEnd"/>
      <w:r w:rsidRPr="008507F3">
        <w:rPr>
          <w:rFonts w:ascii="Arial" w:hAnsi="Arial" w:cs="Arial"/>
          <w:sz w:val="24"/>
          <w:szCs w:val="24"/>
        </w:rPr>
        <w:t xml:space="preserve"> o aumento da </w:t>
      </w:r>
      <w:proofErr w:type="spellStart"/>
      <w:r w:rsidRPr="008507F3">
        <w:rPr>
          <w:rFonts w:ascii="Arial" w:hAnsi="Arial" w:cs="Arial"/>
          <w:sz w:val="24"/>
          <w:szCs w:val="24"/>
        </w:rPr>
        <w:t>fosfatase</w:t>
      </w:r>
      <w:proofErr w:type="spellEnd"/>
      <w:r w:rsidRPr="008507F3">
        <w:rPr>
          <w:rFonts w:ascii="Arial" w:hAnsi="Arial" w:cs="Arial"/>
          <w:sz w:val="24"/>
          <w:szCs w:val="24"/>
        </w:rPr>
        <w:t xml:space="preserve"> alcalina poderá correlacionar-se com um envolvimento ósseo</w:t>
      </w:r>
      <w:r w:rsidR="005E581B" w:rsidRPr="008507F3">
        <w:rPr>
          <w:rFonts w:ascii="Arial" w:hAnsi="Arial" w:cs="Arial"/>
          <w:sz w:val="24"/>
          <w:szCs w:val="24"/>
          <w:vertAlign w:val="superscript"/>
        </w:rPr>
        <w:t>1-2,5,</w:t>
      </w:r>
      <w:r w:rsidR="00FC78A9">
        <w:rPr>
          <w:rFonts w:ascii="Arial" w:hAnsi="Arial" w:cs="Arial"/>
          <w:sz w:val="24"/>
          <w:szCs w:val="24"/>
          <w:vertAlign w:val="superscript"/>
        </w:rPr>
        <w:t>10</w:t>
      </w:r>
      <w:r w:rsidR="005E581B" w:rsidRPr="008507F3">
        <w:rPr>
          <w:rFonts w:ascii="Arial" w:hAnsi="Arial" w:cs="Arial"/>
          <w:sz w:val="24"/>
          <w:szCs w:val="24"/>
          <w:vertAlign w:val="superscript"/>
        </w:rPr>
        <w:t>-</w:t>
      </w:r>
      <w:r w:rsidR="00FC78A9">
        <w:rPr>
          <w:rFonts w:ascii="Arial" w:hAnsi="Arial" w:cs="Arial"/>
          <w:sz w:val="24"/>
          <w:szCs w:val="24"/>
          <w:vertAlign w:val="superscript"/>
        </w:rPr>
        <w:t>11</w:t>
      </w:r>
      <w:r w:rsidRPr="008507F3">
        <w:rPr>
          <w:rFonts w:ascii="Arial" w:hAnsi="Arial" w:cs="Arial"/>
          <w:sz w:val="24"/>
          <w:szCs w:val="24"/>
        </w:rPr>
        <w:t>.</w:t>
      </w:r>
    </w:p>
    <w:p w:rsidR="005E581B" w:rsidRDefault="0095257F" w:rsidP="008507F3">
      <w:pPr>
        <w:shd w:val="clear" w:color="auto" w:fill="FFFFFF"/>
        <w:spacing w:line="360" w:lineRule="auto"/>
        <w:jc w:val="both"/>
      </w:pPr>
      <w:r w:rsidRPr="0098325E">
        <w:rPr>
          <w:rFonts w:ascii="Arial" w:hAnsi="Arial" w:cs="Arial"/>
          <w:sz w:val="24"/>
          <w:szCs w:val="24"/>
        </w:rPr>
        <w:t>A remoção cirúrgica é o tratamento preconizado em todos os casos</w:t>
      </w:r>
      <w:r w:rsidR="00F84E50" w:rsidRPr="0098325E">
        <w:rPr>
          <w:rFonts w:ascii="Arial" w:hAnsi="Arial" w:cs="Arial"/>
          <w:sz w:val="24"/>
          <w:szCs w:val="24"/>
        </w:rPr>
        <w:t>,</w:t>
      </w:r>
      <w:r w:rsidRPr="0098325E">
        <w:rPr>
          <w:rFonts w:ascii="Arial" w:hAnsi="Arial" w:cs="Arial"/>
          <w:sz w:val="24"/>
          <w:szCs w:val="24"/>
        </w:rPr>
        <w:t xml:space="preserve"> com abordagem </w:t>
      </w:r>
      <w:r w:rsidR="00C15777" w:rsidRPr="0098325E">
        <w:rPr>
          <w:rFonts w:ascii="Arial" w:hAnsi="Arial" w:cs="Arial"/>
          <w:sz w:val="24"/>
          <w:szCs w:val="24"/>
        </w:rPr>
        <w:t>mais ou menos invasiva</w:t>
      </w:r>
      <w:r w:rsidR="00F84E50" w:rsidRPr="0098325E">
        <w:rPr>
          <w:rFonts w:ascii="Arial" w:hAnsi="Arial" w:cs="Arial"/>
          <w:sz w:val="24"/>
          <w:szCs w:val="24"/>
        </w:rPr>
        <w:t xml:space="preserve"> </w:t>
      </w:r>
      <w:r w:rsidRPr="0098325E">
        <w:rPr>
          <w:rFonts w:ascii="Arial" w:hAnsi="Arial" w:cs="Arial"/>
          <w:sz w:val="24"/>
          <w:szCs w:val="24"/>
        </w:rPr>
        <w:t>consoante a etiologia</w:t>
      </w:r>
      <w:r w:rsidR="005B7B45" w:rsidRPr="00806EE8">
        <w:rPr>
          <w:rFonts w:ascii="Arial" w:hAnsi="Arial" w:cs="Arial"/>
          <w:sz w:val="24"/>
          <w:szCs w:val="24"/>
          <w:vertAlign w:val="superscript"/>
        </w:rPr>
        <w:t>1,3,5</w:t>
      </w:r>
      <w:r w:rsidR="006B5D68" w:rsidRPr="00806EE8">
        <w:rPr>
          <w:rFonts w:ascii="Arial" w:hAnsi="Arial" w:cs="Arial"/>
          <w:sz w:val="24"/>
          <w:szCs w:val="24"/>
          <w:vertAlign w:val="superscript"/>
        </w:rPr>
        <w:t>,8</w:t>
      </w:r>
      <w:r w:rsidRPr="0098325E">
        <w:rPr>
          <w:rFonts w:ascii="Arial" w:hAnsi="Arial" w:cs="Arial"/>
          <w:sz w:val="24"/>
          <w:szCs w:val="24"/>
        </w:rPr>
        <w:t>. Nas formas benignas e na presença de adenoma único, está recomendada a paratiroidectomia da glândula afetada; nas form</w:t>
      </w:r>
      <w:r w:rsidR="008960EB" w:rsidRPr="0098325E">
        <w:rPr>
          <w:rFonts w:ascii="Arial" w:hAnsi="Arial" w:cs="Arial"/>
          <w:sz w:val="24"/>
          <w:szCs w:val="24"/>
        </w:rPr>
        <w:t>as familiares, neoplásicas ou com</w:t>
      </w:r>
      <w:r w:rsidRPr="0098325E">
        <w:rPr>
          <w:rFonts w:ascii="Arial" w:hAnsi="Arial" w:cs="Arial"/>
          <w:sz w:val="24"/>
          <w:szCs w:val="24"/>
        </w:rPr>
        <w:t xml:space="preserve"> envolvimento </w:t>
      </w:r>
      <w:proofErr w:type="spellStart"/>
      <w:r w:rsidRPr="0098325E">
        <w:rPr>
          <w:rFonts w:ascii="Arial" w:hAnsi="Arial" w:cs="Arial"/>
          <w:sz w:val="24"/>
          <w:szCs w:val="24"/>
        </w:rPr>
        <w:t>multiglandular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r w:rsidR="00275C42" w:rsidRPr="0098325E">
        <w:rPr>
          <w:rFonts w:ascii="Arial" w:hAnsi="Arial" w:cs="Arial"/>
          <w:sz w:val="24"/>
          <w:szCs w:val="24"/>
        </w:rPr>
        <w:t xml:space="preserve">está indicada </w:t>
      </w:r>
      <w:r w:rsidRPr="0098325E">
        <w:rPr>
          <w:rFonts w:ascii="Arial" w:hAnsi="Arial" w:cs="Arial"/>
          <w:sz w:val="24"/>
          <w:szCs w:val="24"/>
        </w:rPr>
        <w:t xml:space="preserve">a paratiroidectomia subtotal ou </w:t>
      </w:r>
      <w:r w:rsidRPr="00806EE8">
        <w:rPr>
          <w:rFonts w:ascii="Arial" w:hAnsi="Arial" w:cs="Arial"/>
          <w:sz w:val="24"/>
          <w:szCs w:val="24"/>
        </w:rPr>
        <w:t>total</w:t>
      </w:r>
      <w:r w:rsidR="00924314" w:rsidRPr="00806EE8">
        <w:rPr>
          <w:rFonts w:ascii="Arial" w:hAnsi="Arial" w:cs="Arial"/>
          <w:sz w:val="24"/>
          <w:szCs w:val="24"/>
          <w:vertAlign w:val="superscript"/>
        </w:rPr>
        <w:t>2</w:t>
      </w:r>
      <w:r w:rsidR="00FC78A9">
        <w:rPr>
          <w:rFonts w:ascii="Arial" w:hAnsi="Arial" w:cs="Arial"/>
          <w:sz w:val="24"/>
          <w:szCs w:val="24"/>
          <w:vertAlign w:val="superscript"/>
        </w:rPr>
        <w:t>,10-11</w:t>
      </w:r>
      <w:r w:rsidRPr="0098325E">
        <w:rPr>
          <w:rFonts w:ascii="Arial" w:hAnsi="Arial" w:cs="Arial"/>
          <w:sz w:val="24"/>
          <w:szCs w:val="24"/>
        </w:rPr>
        <w:t xml:space="preserve">. A PTH apresenta uma </w:t>
      </w:r>
      <w:proofErr w:type="spellStart"/>
      <w:r w:rsidRPr="0098325E">
        <w:rPr>
          <w:rFonts w:ascii="Arial" w:hAnsi="Arial" w:cs="Arial"/>
          <w:sz w:val="24"/>
          <w:szCs w:val="24"/>
        </w:rPr>
        <w:t>semi-vida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curta (três a quatro minutos) pelo que o seu doseamento intra-operatório permite comprovar a diminuição dos níveis de PTH após resseção do tumor, </w:t>
      </w:r>
      <w:r w:rsidR="004F09C6" w:rsidRPr="0098325E">
        <w:rPr>
          <w:rFonts w:ascii="Arial" w:hAnsi="Arial" w:cs="Arial"/>
          <w:sz w:val="24"/>
          <w:szCs w:val="24"/>
        </w:rPr>
        <w:t xml:space="preserve">valor </w:t>
      </w:r>
      <w:r w:rsidRPr="0098325E">
        <w:rPr>
          <w:rFonts w:ascii="Arial" w:hAnsi="Arial" w:cs="Arial"/>
          <w:sz w:val="24"/>
          <w:szCs w:val="24"/>
        </w:rPr>
        <w:t>que deve diminuir para meno</w:t>
      </w:r>
      <w:r w:rsidR="004F09C6" w:rsidRPr="0098325E">
        <w:rPr>
          <w:rFonts w:ascii="Arial" w:hAnsi="Arial" w:cs="Arial"/>
          <w:sz w:val="24"/>
          <w:szCs w:val="24"/>
        </w:rPr>
        <w:t xml:space="preserve">s metade relativamente ao </w:t>
      </w:r>
      <w:r w:rsidRPr="0098325E">
        <w:rPr>
          <w:rFonts w:ascii="Arial" w:hAnsi="Arial" w:cs="Arial"/>
          <w:sz w:val="24"/>
          <w:szCs w:val="24"/>
        </w:rPr>
        <w:t xml:space="preserve">doseado na indução </w:t>
      </w:r>
      <w:r w:rsidRPr="00A56207">
        <w:rPr>
          <w:rFonts w:ascii="Arial" w:hAnsi="Arial" w:cs="Arial"/>
          <w:sz w:val="24"/>
          <w:szCs w:val="24"/>
        </w:rPr>
        <w:t>anestésica</w:t>
      </w:r>
      <w:r w:rsidR="00A56207" w:rsidRPr="00806EE8">
        <w:rPr>
          <w:rFonts w:ascii="Arial" w:hAnsi="Arial" w:cs="Arial"/>
          <w:sz w:val="24"/>
          <w:szCs w:val="24"/>
          <w:vertAlign w:val="superscript"/>
        </w:rPr>
        <w:t>2,</w:t>
      </w:r>
      <w:r w:rsidR="00FC78A9">
        <w:rPr>
          <w:rFonts w:ascii="Arial" w:hAnsi="Arial" w:cs="Arial"/>
          <w:sz w:val="24"/>
          <w:szCs w:val="24"/>
          <w:vertAlign w:val="superscript"/>
        </w:rPr>
        <w:t>10</w:t>
      </w:r>
      <w:r w:rsidRPr="008507F3">
        <w:rPr>
          <w:rFonts w:ascii="Arial" w:hAnsi="Arial" w:cs="Arial"/>
          <w:sz w:val="24"/>
          <w:szCs w:val="24"/>
        </w:rPr>
        <w:t>.</w:t>
      </w:r>
      <w:r w:rsidR="001D4DA0" w:rsidRPr="008507F3">
        <w:rPr>
          <w:rFonts w:ascii="Arial" w:hAnsi="Arial" w:cs="Arial"/>
          <w:sz w:val="24"/>
          <w:szCs w:val="24"/>
        </w:rPr>
        <w:t xml:space="preserve"> </w:t>
      </w:r>
      <w:r w:rsidR="005E581B" w:rsidRPr="008507F3">
        <w:rPr>
          <w:rFonts w:ascii="Arial" w:hAnsi="Arial" w:cs="Arial"/>
          <w:sz w:val="24"/>
          <w:szCs w:val="24"/>
        </w:rPr>
        <w:t>Caso não se verifique</w:t>
      </w:r>
      <w:r w:rsidR="000F0C67" w:rsidRPr="008507F3">
        <w:rPr>
          <w:rFonts w:ascii="Arial" w:hAnsi="Arial" w:cs="Arial"/>
          <w:sz w:val="24"/>
          <w:szCs w:val="24"/>
        </w:rPr>
        <w:t xml:space="preserve"> a diminuição dos níveis da PTH </w:t>
      </w:r>
      <w:r w:rsidR="008507F3" w:rsidRPr="008507F3">
        <w:rPr>
          <w:rFonts w:ascii="Arial" w:hAnsi="Arial" w:cs="Arial"/>
          <w:sz w:val="24"/>
          <w:szCs w:val="24"/>
        </w:rPr>
        <w:t xml:space="preserve">deverá </w:t>
      </w:r>
      <w:r w:rsidR="000F0C67" w:rsidRPr="008507F3">
        <w:rPr>
          <w:rFonts w:ascii="Arial" w:hAnsi="Arial" w:cs="Arial"/>
          <w:sz w:val="24"/>
          <w:szCs w:val="24"/>
        </w:rPr>
        <w:t>considerar</w:t>
      </w:r>
      <w:r w:rsidR="008507F3" w:rsidRPr="008507F3">
        <w:rPr>
          <w:rFonts w:ascii="Arial" w:hAnsi="Arial" w:cs="Arial"/>
          <w:sz w:val="24"/>
          <w:szCs w:val="24"/>
        </w:rPr>
        <w:t>-se a existência de</w:t>
      </w:r>
      <w:r w:rsidR="000F0C67" w:rsidRPr="008507F3">
        <w:rPr>
          <w:rFonts w:ascii="Arial" w:hAnsi="Arial" w:cs="Arial"/>
          <w:sz w:val="24"/>
          <w:szCs w:val="24"/>
        </w:rPr>
        <w:t xml:space="preserve"> outro adenoma, </w:t>
      </w:r>
      <w:r w:rsidR="005E581B" w:rsidRPr="008507F3">
        <w:rPr>
          <w:rFonts w:ascii="Arial" w:hAnsi="Arial" w:cs="Arial"/>
          <w:sz w:val="24"/>
          <w:szCs w:val="24"/>
        </w:rPr>
        <w:t xml:space="preserve">envolvimento </w:t>
      </w:r>
      <w:proofErr w:type="spellStart"/>
      <w:r w:rsidR="005E581B" w:rsidRPr="008507F3">
        <w:rPr>
          <w:rFonts w:ascii="Arial" w:hAnsi="Arial" w:cs="Arial"/>
          <w:sz w:val="24"/>
          <w:szCs w:val="24"/>
        </w:rPr>
        <w:t>multiglandular</w:t>
      </w:r>
      <w:proofErr w:type="spellEnd"/>
      <w:r w:rsidR="005E581B" w:rsidRPr="008507F3">
        <w:rPr>
          <w:rFonts w:ascii="Arial" w:hAnsi="Arial" w:cs="Arial"/>
          <w:sz w:val="24"/>
          <w:szCs w:val="24"/>
        </w:rPr>
        <w:t xml:space="preserve"> ou a existência de tecido ectópico</w:t>
      </w:r>
      <w:r w:rsidR="000F0C67" w:rsidRPr="008507F3">
        <w:rPr>
          <w:rFonts w:ascii="Arial" w:hAnsi="Arial" w:cs="Arial"/>
          <w:sz w:val="24"/>
          <w:szCs w:val="24"/>
        </w:rPr>
        <w:t xml:space="preserve">, </w:t>
      </w:r>
      <w:r w:rsidR="001D4DA0" w:rsidRPr="008507F3">
        <w:rPr>
          <w:rFonts w:ascii="Arial" w:hAnsi="Arial" w:cs="Arial"/>
          <w:sz w:val="24"/>
          <w:szCs w:val="24"/>
        </w:rPr>
        <w:t>que justifica</w:t>
      </w:r>
      <w:r w:rsidR="000F0C67" w:rsidRPr="008507F3">
        <w:rPr>
          <w:rFonts w:ascii="Arial" w:hAnsi="Arial" w:cs="Arial"/>
          <w:sz w:val="24"/>
          <w:szCs w:val="24"/>
        </w:rPr>
        <w:t xml:space="preserve"> exploração</w:t>
      </w:r>
      <w:r w:rsidR="005E581B" w:rsidRPr="008507F3">
        <w:rPr>
          <w:rFonts w:ascii="Arial" w:hAnsi="Arial" w:cs="Arial"/>
          <w:sz w:val="24"/>
          <w:szCs w:val="24"/>
        </w:rPr>
        <w:t xml:space="preserve"> cirúrgica</w:t>
      </w:r>
      <w:r w:rsidR="000F0C67" w:rsidRPr="008507F3">
        <w:rPr>
          <w:rFonts w:ascii="Arial" w:hAnsi="Arial" w:cs="Arial"/>
          <w:sz w:val="24"/>
          <w:szCs w:val="24"/>
        </w:rPr>
        <w:t xml:space="preserve"> com</w:t>
      </w:r>
      <w:r w:rsidR="005E581B" w:rsidRPr="008507F3">
        <w:rPr>
          <w:rFonts w:ascii="Arial" w:hAnsi="Arial" w:cs="Arial"/>
          <w:sz w:val="24"/>
          <w:szCs w:val="24"/>
        </w:rPr>
        <w:t xml:space="preserve"> repetição do </w:t>
      </w:r>
      <w:proofErr w:type="spellStart"/>
      <w:r w:rsidR="005E581B" w:rsidRPr="008507F3">
        <w:rPr>
          <w:rFonts w:ascii="Arial" w:hAnsi="Arial" w:cs="Arial"/>
          <w:sz w:val="24"/>
          <w:szCs w:val="24"/>
        </w:rPr>
        <w:t>dosemanento</w:t>
      </w:r>
      <w:proofErr w:type="spellEnd"/>
      <w:r w:rsidR="005E581B" w:rsidRPr="008507F3">
        <w:rPr>
          <w:rFonts w:ascii="Arial" w:hAnsi="Arial" w:cs="Arial"/>
          <w:sz w:val="24"/>
          <w:szCs w:val="24"/>
        </w:rPr>
        <w:t xml:space="preserve"> hormonal</w:t>
      </w:r>
      <w:r w:rsidR="00FC78A9">
        <w:rPr>
          <w:rFonts w:ascii="Arial" w:hAnsi="Arial" w:cs="Arial"/>
          <w:sz w:val="24"/>
          <w:szCs w:val="24"/>
          <w:vertAlign w:val="superscript"/>
        </w:rPr>
        <w:t>2,10</w:t>
      </w:r>
      <w:r w:rsidR="005E581B" w:rsidRPr="008507F3">
        <w:rPr>
          <w:rFonts w:ascii="Arial" w:hAnsi="Arial" w:cs="Arial"/>
          <w:sz w:val="24"/>
          <w:szCs w:val="24"/>
        </w:rPr>
        <w:t>.</w:t>
      </w:r>
    </w:p>
    <w:p w:rsidR="00C61DF8" w:rsidRDefault="0095257F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325E">
        <w:rPr>
          <w:rFonts w:ascii="Arial" w:hAnsi="Arial" w:cs="Arial"/>
          <w:sz w:val="24"/>
          <w:szCs w:val="24"/>
        </w:rPr>
        <w:t>Na maioria dos casos o HP</w:t>
      </w:r>
      <w:r w:rsidR="008960EB" w:rsidRPr="0098325E">
        <w:rPr>
          <w:rFonts w:ascii="Arial" w:hAnsi="Arial" w:cs="Arial"/>
          <w:sz w:val="24"/>
          <w:szCs w:val="24"/>
        </w:rPr>
        <w:t xml:space="preserve">TP constitui </w:t>
      </w:r>
      <w:r w:rsidR="008960EB" w:rsidRPr="00806EE8">
        <w:rPr>
          <w:rFonts w:ascii="Arial" w:hAnsi="Arial" w:cs="Arial"/>
          <w:sz w:val="24"/>
          <w:szCs w:val="24"/>
        </w:rPr>
        <w:t xml:space="preserve">uma doença benigna e </w:t>
      </w:r>
      <w:r w:rsidRPr="00806EE8">
        <w:rPr>
          <w:rFonts w:ascii="Arial" w:hAnsi="Arial" w:cs="Arial"/>
          <w:sz w:val="24"/>
          <w:szCs w:val="24"/>
        </w:rPr>
        <w:t>com um prognóstico favorável após remoção cirúrgica</w:t>
      </w:r>
      <w:r w:rsidR="00A56207" w:rsidRPr="00806EE8">
        <w:rPr>
          <w:rFonts w:ascii="Arial" w:hAnsi="Arial" w:cs="Arial"/>
          <w:sz w:val="24"/>
          <w:szCs w:val="24"/>
          <w:vertAlign w:val="superscript"/>
        </w:rPr>
        <w:t>2,</w:t>
      </w:r>
      <w:r w:rsidR="00FC78A9">
        <w:rPr>
          <w:rFonts w:ascii="Arial" w:hAnsi="Arial" w:cs="Arial"/>
          <w:sz w:val="24"/>
          <w:szCs w:val="24"/>
          <w:vertAlign w:val="superscript"/>
        </w:rPr>
        <w:t>12</w:t>
      </w:r>
      <w:r w:rsidRPr="00806EE8">
        <w:rPr>
          <w:rFonts w:ascii="Arial" w:hAnsi="Arial" w:cs="Arial"/>
          <w:sz w:val="24"/>
          <w:szCs w:val="24"/>
        </w:rPr>
        <w:t>.</w:t>
      </w:r>
      <w:r w:rsidRPr="0098325E">
        <w:rPr>
          <w:rFonts w:ascii="Arial" w:hAnsi="Arial" w:cs="Arial"/>
          <w:sz w:val="24"/>
          <w:szCs w:val="24"/>
        </w:rPr>
        <w:t xml:space="preserve"> </w:t>
      </w:r>
      <w:r w:rsidR="00A01FD8" w:rsidRPr="0098325E">
        <w:rPr>
          <w:rFonts w:ascii="Arial" w:hAnsi="Arial" w:cs="Arial"/>
          <w:sz w:val="24"/>
          <w:szCs w:val="24"/>
        </w:rPr>
        <w:t xml:space="preserve">O estudo genético deve ser realizado sempre que consideradas formas </w:t>
      </w:r>
      <w:r w:rsidR="002C36DD" w:rsidRPr="0098325E">
        <w:rPr>
          <w:rFonts w:ascii="Arial" w:hAnsi="Arial" w:cs="Arial"/>
          <w:sz w:val="24"/>
          <w:szCs w:val="24"/>
        </w:rPr>
        <w:t>hereditárias</w:t>
      </w:r>
      <w:r w:rsidR="00A01FD8" w:rsidRPr="0098325E">
        <w:rPr>
          <w:rFonts w:ascii="Arial" w:hAnsi="Arial" w:cs="Arial"/>
          <w:sz w:val="24"/>
          <w:szCs w:val="24"/>
        </w:rPr>
        <w:t xml:space="preserve"> ou neoplásicas</w:t>
      </w:r>
      <w:r w:rsidR="004F09C6" w:rsidRPr="0098325E">
        <w:rPr>
          <w:rFonts w:ascii="Arial" w:hAnsi="Arial" w:cs="Arial"/>
          <w:sz w:val="24"/>
          <w:szCs w:val="24"/>
        </w:rPr>
        <w:t>,</w:t>
      </w:r>
      <w:r w:rsidR="00A01FD8" w:rsidRPr="0098325E">
        <w:rPr>
          <w:rFonts w:ascii="Arial" w:hAnsi="Arial" w:cs="Arial"/>
          <w:sz w:val="24"/>
          <w:szCs w:val="24"/>
        </w:rPr>
        <w:t xml:space="preserve"> principalmente na presença de história familiar ou </w:t>
      </w:r>
      <w:r w:rsidR="004F09C6" w:rsidRPr="0098325E">
        <w:rPr>
          <w:rFonts w:ascii="Arial" w:hAnsi="Arial" w:cs="Arial"/>
          <w:sz w:val="24"/>
          <w:szCs w:val="24"/>
        </w:rPr>
        <w:t xml:space="preserve">de </w:t>
      </w:r>
      <w:r w:rsidR="00A01FD8" w:rsidRPr="0098325E">
        <w:rPr>
          <w:rFonts w:ascii="Arial" w:hAnsi="Arial" w:cs="Arial"/>
          <w:sz w:val="24"/>
          <w:szCs w:val="24"/>
        </w:rPr>
        <w:t xml:space="preserve">fatores de </w:t>
      </w:r>
      <w:r w:rsidR="00A01FD8" w:rsidRPr="00806EE8">
        <w:rPr>
          <w:rFonts w:ascii="Arial" w:hAnsi="Arial" w:cs="Arial"/>
          <w:sz w:val="24"/>
          <w:szCs w:val="24"/>
        </w:rPr>
        <w:t>risco</w:t>
      </w:r>
      <w:r w:rsidR="005B7B45" w:rsidRPr="00806EE8">
        <w:rPr>
          <w:rFonts w:ascii="Arial" w:hAnsi="Arial" w:cs="Arial"/>
          <w:sz w:val="24"/>
          <w:szCs w:val="24"/>
          <w:vertAlign w:val="superscript"/>
        </w:rPr>
        <w:t>5</w:t>
      </w:r>
      <w:r w:rsidR="00A01FD8" w:rsidRPr="00806EE8">
        <w:rPr>
          <w:rFonts w:ascii="Arial" w:hAnsi="Arial" w:cs="Arial"/>
          <w:sz w:val="24"/>
          <w:szCs w:val="24"/>
        </w:rPr>
        <w:t>.</w:t>
      </w:r>
    </w:p>
    <w:p w:rsidR="005E581B" w:rsidRDefault="005E581B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P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lastRenderedPageBreak/>
        <w:t xml:space="preserve">5. </w:t>
      </w:r>
    </w:p>
    <w:p w:rsidR="001E5525" w:rsidRDefault="001E5525" w:rsidP="001E552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 Bibliográ</w:t>
      </w:r>
      <w:r w:rsidRPr="0098325E">
        <w:rPr>
          <w:rFonts w:ascii="Arial" w:hAnsi="Arial" w:cs="Arial"/>
          <w:b/>
          <w:sz w:val="24"/>
          <w:szCs w:val="24"/>
        </w:rPr>
        <w:t>fi</w:t>
      </w:r>
      <w:r>
        <w:rPr>
          <w:rFonts w:ascii="Arial" w:hAnsi="Arial" w:cs="Arial"/>
          <w:b/>
          <w:sz w:val="24"/>
          <w:szCs w:val="24"/>
        </w:rPr>
        <w:t>c</w:t>
      </w:r>
      <w:r w:rsidRPr="0098325E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</w:t>
      </w:r>
    </w:p>
    <w:p w:rsidR="001E5525" w:rsidRPr="0098325E" w:rsidRDefault="001E5525" w:rsidP="001E552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E5525" w:rsidRDefault="001E5525" w:rsidP="001E5525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98325E">
        <w:rPr>
          <w:rFonts w:ascii="Arial" w:hAnsi="Arial" w:cs="Arial"/>
          <w:sz w:val="24"/>
          <w:szCs w:val="24"/>
        </w:rPr>
        <w:t>Roizena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98325E">
        <w:rPr>
          <w:rFonts w:ascii="Arial" w:hAnsi="Arial" w:cs="Arial"/>
          <w:sz w:val="24"/>
          <w:szCs w:val="24"/>
        </w:rPr>
        <w:t>Levine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M. </w:t>
      </w:r>
      <w:proofErr w:type="spellStart"/>
      <w:r w:rsidRPr="0098325E">
        <w:rPr>
          <w:rFonts w:ascii="Arial" w:hAnsi="Arial" w:cs="Arial"/>
          <w:sz w:val="24"/>
          <w:szCs w:val="24"/>
        </w:rPr>
        <w:t>Primary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hyperparathyroidism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8325E">
        <w:rPr>
          <w:rFonts w:ascii="Arial" w:hAnsi="Arial" w:cs="Arial"/>
          <w:sz w:val="24"/>
          <w:szCs w:val="24"/>
        </w:rPr>
        <w:t>children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and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adolescentes. Chin </w:t>
      </w:r>
      <w:proofErr w:type="spellStart"/>
      <w:r w:rsidRPr="0098325E">
        <w:rPr>
          <w:rFonts w:ascii="Arial" w:hAnsi="Arial" w:cs="Arial"/>
          <w:sz w:val="24"/>
          <w:szCs w:val="24"/>
        </w:rPr>
        <w:t>Med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Assoc</w:t>
      </w:r>
      <w:proofErr w:type="spellEnd"/>
      <w:r w:rsidRPr="0098325E">
        <w:rPr>
          <w:rFonts w:ascii="Arial" w:hAnsi="Arial" w:cs="Arial"/>
          <w:sz w:val="24"/>
          <w:szCs w:val="24"/>
        </w:rPr>
        <w:t>. 2012; 75(9): 425–</w:t>
      </w:r>
      <w:proofErr w:type="gramStart"/>
      <w:r w:rsidRPr="0098325E">
        <w:rPr>
          <w:rFonts w:ascii="Arial" w:hAnsi="Arial" w:cs="Arial"/>
          <w:sz w:val="24"/>
          <w:szCs w:val="24"/>
        </w:rPr>
        <w:t>434</w:t>
      </w:r>
      <w:proofErr w:type="gramEnd"/>
    </w:p>
    <w:p w:rsidR="001E5525" w:rsidRPr="0098325E" w:rsidRDefault="001E5525" w:rsidP="001E5525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Vieira H, Calado R, Martins A, Olimpia Cid M. </w:t>
      </w:r>
      <w:proofErr w:type="spellStart"/>
      <w:r w:rsidRPr="0098325E">
        <w:rPr>
          <w:rFonts w:ascii="Arial" w:hAnsi="Arial" w:cs="Arial"/>
          <w:sz w:val="24"/>
          <w:szCs w:val="24"/>
        </w:rPr>
        <w:t>Hiperparatiroidismo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primário na criança – a propósito de um caso clínico. Saúde Infantil 2013; 35(1): 40-42</w:t>
      </w:r>
    </w:p>
    <w:p w:rsidR="001E5525" w:rsidRPr="0098325E" w:rsidRDefault="001E5525" w:rsidP="001E5525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98325E">
        <w:rPr>
          <w:rFonts w:ascii="Arial" w:hAnsi="Arial" w:cs="Arial"/>
          <w:sz w:val="24"/>
          <w:szCs w:val="24"/>
        </w:rPr>
        <w:t>Kollars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98325E">
        <w:rPr>
          <w:rFonts w:ascii="Arial" w:hAnsi="Arial" w:cs="Arial"/>
          <w:sz w:val="24"/>
          <w:szCs w:val="24"/>
        </w:rPr>
        <w:t>Zarroung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98325E">
        <w:rPr>
          <w:rFonts w:ascii="Arial" w:hAnsi="Arial" w:cs="Arial"/>
          <w:sz w:val="24"/>
          <w:szCs w:val="24"/>
        </w:rPr>
        <w:t>Heerden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98325E">
        <w:rPr>
          <w:rFonts w:ascii="Arial" w:hAnsi="Arial" w:cs="Arial"/>
          <w:sz w:val="24"/>
          <w:szCs w:val="24"/>
        </w:rPr>
        <w:t>Lteif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98325E">
        <w:rPr>
          <w:rFonts w:ascii="Arial" w:hAnsi="Arial" w:cs="Arial"/>
          <w:sz w:val="24"/>
          <w:szCs w:val="24"/>
        </w:rPr>
        <w:t>Stavlo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98325E">
        <w:rPr>
          <w:rFonts w:ascii="Arial" w:hAnsi="Arial" w:cs="Arial"/>
          <w:sz w:val="24"/>
          <w:szCs w:val="24"/>
        </w:rPr>
        <w:t>Suarez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98325E">
        <w:rPr>
          <w:rFonts w:ascii="Arial" w:hAnsi="Arial" w:cs="Arial"/>
          <w:sz w:val="24"/>
          <w:szCs w:val="24"/>
        </w:rPr>
        <w:t>et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al. </w:t>
      </w:r>
      <w:proofErr w:type="spellStart"/>
      <w:r w:rsidRPr="0098325E">
        <w:rPr>
          <w:rFonts w:ascii="Arial" w:hAnsi="Arial" w:cs="Arial"/>
          <w:sz w:val="24"/>
          <w:szCs w:val="24"/>
        </w:rPr>
        <w:t>Primary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Hyperparathyroidism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8325E">
        <w:rPr>
          <w:rFonts w:ascii="Arial" w:hAnsi="Arial" w:cs="Arial"/>
          <w:sz w:val="24"/>
          <w:szCs w:val="24"/>
        </w:rPr>
        <w:t>Pediatric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Patients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325E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Pediatrics</w:t>
      </w:r>
      <w:proofErr w:type="spellEnd"/>
      <w:r w:rsidRPr="009832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2005; </w:t>
      </w:r>
      <w:r w:rsidRPr="0098325E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115</w:t>
      </w:r>
      <w:r w:rsidRPr="0098325E">
        <w:rPr>
          <w:rFonts w:ascii="Arial" w:hAnsi="Arial" w:cs="Arial"/>
          <w:color w:val="222222"/>
          <w:sz w:val="24"/>
          <w:szCs w:val="24"/>
          <w:shd w:val="clear" w:color="auto" w:fill="FFFFFF"/>
        </w:rPr>
        <w:t>(4): 974-980</w:t>
      </w:r>
    </w:p>
    <w:p w:rsidR="001E5525" w:rsidRPr="0098325E" w:rsidRDefault="001E5525" w:rsidP="001E5525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98325E">
        <w:rPr>
          <w:rFonts w:ascii="Arial" w:hAnsi="Arial" w:cs="Arial"/>
          <w:sz w:val="24"/>
          <w:szCs w:val="24"/>
        </w:rPr>
        <w:t>Alagaratnam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98325E">
        <w:rPr>
          <w:rFonts w:ascii="Arial" w:hAnsi="Arial" w:cs="Arial"/>
          <w:sz w:val="24"/>
          <w:szCs w:val="24"/>
        </w:rPr>
        <w:t>Kurzawinski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T. </w:t>
      </w:r>
      <w:proofErr w:type="spellStart"/>
      <w:r w:rsidRPr="0098325E">
        <w:rPr>
          <w:rFonts w:ascii="Arial" w:hAnsi="Arial" w:cs="Arial"/>
          <w:sz w:val="24"/>
          <w:szCs w:val="24"/>
        </w:rPr>
        <w:t>Aetiology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325E">
        <w:rPr>
          <w:rFonts w:ascii="Arial" w:hAnsi="Arial" w:cs="Arial"/>
          <w:sz w:val="24"/>
          <w:szCs w:val="24"/>
        </w:rPr>
        <w:t>Diagnosis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and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Surgical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Treatment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of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Primary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Hyperparathyroidism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8325E">
        <w:rPr>
          <w:rFonts w:ascii="Arial" w:hAnsi="Arial" w:cs="Arial"/>
          <w:sz w:val="24"/>
          <w:szCs w:val="24"/>
        </w:rPr>
        <w:t>Children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: New </w:t>
      </w:r>
      <w:proofErr w:type="spellStart"/>
      <w:r w:rsidRPr="0098325E">
        <w:rPr>
          <w:rFonts w:ascii="Arial" w:hAnsi="Arial" w:cs="Arial"/>
          <w:sz w:val="24"/>
          <w:szCs w:val="24"/>
        </w:rPr>
        <w:t>Trends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8325E">
        <w:rPr>
          <w:rFonts w:ascii="Arial" w:hAnsi="Arial" w:cs="Arial"/>
          <w:sz w:val="24"/>
          <w:szCs w:val="24"/>
        </w:rPr>
        <w:t>Hormone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research in </w:t>
      </w:r>
      <w:proofErr w:type="spellStart"/>
      <w:r w:rsidRPr="0098325E">
        <w:rPr>
          <w:rFonts w:ascii="Arial" w:hAnsi="Arial" w:cs="Arial"/>
          <w:sz w:val="24"/>
          <w:szCs w:val="24"/>
        </w:rPr>
        <w:t>paediatrics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2015; 83(6): 365-375.</w:t>
      </w:r>
    </w:p>
    <w:p w:rsidR="001E5525" w:rsidRPr="00FC78A9" w:rsidRDefault="001E5525" w:rsidP="001E5525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t-PT"/>
        </w:rPr>
      </w:pPr>
      <w:r w:rsidRPr="0098325E">
        <w:rPr>
          <w:rFonts w:ascii="Arial" w:hAnsi="Arial" w:cs="Arial"/>
          <w:sz w:val="24"/>
          <w:szCs w:val="24"/>
        </w:rPr>
        <w:t xml:space="preserve">Salman P, </w:t>
      </w:r>
      <w:proofErr w:type="spellStart"/>
      <w:r w:rsidRPr="0098325E">
        <w:rPr>
          <w:rFonts w:ascii="Arial" w:hAnsi="Arial" w:cs="Arial"/>
          <w:sz w:val="24"/>
          <w:szCs w:val="24"/>
        </w:rPr>
        <w:t>González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G, </w:t>
      </w:r>
      <w:proofErr w:type="spellStart"/>
      <w:r w:rsidRPr="0098325E">
        <w:rPr>
          <w:rFonts w:ascii="Arial" w:hAnsi="Arial" w:cs="Arial"/>
          <w:sz w:val="24"/>
          <w:szCs w:val="24"/>
        </w:rPr>
        <w:t>González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98325E">
        <w:rPr>
          <w:rFonts w:ascii="Arial" w:hAnsi="Arial" w:cs="Arial"/>
          <w:sz w:val="24"/>
          <w:szCs w:val="24"/>
        </w:rPr>
        <w:t>Arteaga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U. </w:t>
      </w:r>
      <w:proofErr w:type="spellStart"/>
      <w:r w:rsidRPr="0098325E">
        <w:rPr>
          <w:rFonts w:ascii="Arial" w:hAnsi="Arial" w:cs="Arial"/>
          <w:sz w:val="24"/>
          <w:szCs w:val="24"/>
        </w:rPr>
        <w:t>Hiperparatiroidismo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primario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el adolescente. Caso Clinico. </w:t>
      </w:r>
      <w:r w:rsidRPr="0098325E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Revista médica de Chile</w:t>
      </w:r>
      <w:r w:rsidRPr="0098325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2008; </w:t>
      </w:r>
      <w:r w:rsidRPr="0098325E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136</w:t>
      </w:r>
      <w:r w:rsidRPr="0098325E">
        <w:rPr>
          <w:rFonts w:ascii="Arial" w:hAnsi="Arial" w:cs="Arial"/>
          <w:color w:val="222222"/>
          <w:sz w:val="24"/>
          <w:szCs w:val="24"/>
          <w:shd w:val="clear" w:color="auto" w:fill="FFFFFF"/>
        </w:rPr>
        <w:t>(10): 1301-1306.</w:t>
      </w:r>
    </w:p>
    <w:p w:rsidR="00FC78A9" w:rsidRPr="00FC78A9" w:rsidRDefault="00FC78A9" w:rsidP="00FC78A9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FC78A9">
        <w:rPr>
          <w:rFonts w:ascii="Arial" w:hAnsi="Arial" w:cs="Arial"/>
          <w:sz w:val="24"/>
          <w:szCs w:val="24"/>
        </w:rPr>
        <w:t>Rolighed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FC78A9">
        <w:rPr>
          <w:rFonts w:ascii="Arial" w:hAnsi="Arial" w:cs="Arial"/>
          <w:sz w:val="24"/>
          <w:szCs w:val="24"/>
        </w:rPr>
        <w:t>Rejnmark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FC78A9">
        <w:rPr>
          <w:rFonts w:ascii="Arial" w:hAnsi="Arial" w:cs="Arial"/>
          <w:sz w:val="24"/>
          <w:szCs w:val="24"/>
        </w:rPr>
        <w:t>Sikjaer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T, </w:t>
      </w:r>
      <w:proofErr w:type="spellStart"/>
      <w:r w:rsidRPr="00FC78A9">
        <w:rPr>
          <w:rFonts w:ascii="Arial" w:hAnsi="Arial" w:cs="Arial"/>
          <w:sz w:val="24"/>
          <w:szCs w:val="24"/>
        </w:rPr>
        <w:t>Heickendorff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FC78A9">
        <w:rPr>
          <w:rFonts w:ascii="Arial" w:hAnsi="Arial" w:cs="Arial"/>
          <w:sz w:val="24"/>
          <w:szCs w:val="24"/>
        </w:rPr>
        <w:t>Vestergaard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FC78A9">
        <w:rPr>
          <w:rFonts w:ascii="Arial" w:hAnsi="Arial" w:cs="Arial"/>
          <w:sz w:val="24"/>
          <w:szCs w:val="24"/>
        </w:rPr>
        <w:t>et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al. </w:t>
      </w:r>
      <w:proofErr w:type="spellStart"/>
      <w:r w:rsidRPr="00FC78A9">
        <w:rPr>
          <w:rFonts w:ascii="Arial" w:hAnsi="Arial" w:cs="Arial"/>
          <w:sz w:val="24"/>
          <w:szCs w:val="24"/>
        </w:rPr>
        <w:t>Vitamin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D </w:t>
      </w:r>
      <w:proofErr w:type="spellStart"/>
      <w:r w:rsidRPr="00FC78A9">
        <w:rPr>
          <w:rFonts w:ascii="Arial" w:hAnsi="Arial" w:cs="Arial"/>
          <w:sz w:val="24"/>
          <w:szCs w:val="24"/>
        </w:rPr>
        <w:t>Treatment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FC78A9">
        <w:rPr>
          <w:rFonts w:ascii="Arial" w:hAnsi="Arial" w:cs="Arial"/>
          <w:sz w:val="24"/>
          <w:szCs w:val="24"/>
        </w:rPr>
        <w:t>Primary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Hyperparathyroidism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: A </w:t>
      </w:r>
      <w:proofErr w:type="spellStart"/>
      <w:r w:rsidRPr="00FC78A9">
        <w:rPr>
          <w:rFonts w:ascii="Arial" w:hAnsi="Arial" w:cs="Arial"/>
          <w:sz w:val="24"/>
          <w:szCs w:val="24"/>
        </w:rPr>
        <w:t>Randomized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Placebo </w:t>
      </w:r>
      <w:proofErr w:type="spellStart"/>
      <w:r w:rsidRPr="00FC78A9">
        <w:rPr>
          <w:rFonts w:ascii="Arial" w:hAnsi="Arial" w:cs="Arial"/>
          <w:sz w:val="24"/>
          <w:szCs w:val="24"/>
        </w:rPr>
        <w:t>Controlled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Trial. J </w:t>
      </w:r>
      <w:proofErr w:type="spellStart"/>
      <w:r w:rsidRPr="00FC78A9">
        <w:rPr>
          <w:rFonts w:ascii="Arial" w:hAnsi="Arial" w:cs="Arial"/>
          <w:sz w:val="24"/>
          <w:szCs w:val="24"/>
        </w:rPr>
        <w:t>Clin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Endocrinol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Metab</w:t>
      </w:r>
      <w:proofErr w:type="spellEnd"/>
      <w:r w:rsidRPr="00FC78A9">
        <w:rPr>
          <w:rFonts w:ascii="Arial" w:hAnsi="Arial" w:cs="Arial"/>
          <w:sz w:val="24"/>
          <w:szCs w:val="24"/>
        </w:rPr>
        <w:t>. 2014;99(3):1072-80</w:t>
      </w:r>
    </w:p>
    <w:p w:rsidR="00FC78A9" w:rsidRPr="00FC78A9" w:rsidRDefault="00FC78A9" w:rsidP="00FC78A9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Wilhelm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SM, Wang TS, </w:t>
      </w:r>
      <w:proofErr w:type="spellStart"/>
      <w:r w:rsidRPr="00FC78A9">
        <w:rPr>
          <w:rFonts w:ascii="Arial" w:hAnsi="Arial" w:cs="Arial"/>
          <w:sz w:val="24"/>
          <w:szCs w:val="24"/>
        </w:rPr>
        <w:t>Ruan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DT, Lee JA, Asa SL, </w:t>
      </w:r>
      <w:proofErr w:type="spellStart"/>
      <w:r w:rsidRPr="00FC78A9">
        <w:rPr>
          <w:rFonts w:ascii="Arial" w:hAnsi="Arial" w:cs="Arial"/>
          <w:sz w:val="24"/>
          <w:szCs w:val="24"/>
        </w:rPr>
        <w:t>et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al. </w:t>
      </w:r>
      <w:proofErr w:type="spellStart"/>
      <w:r w:rsidRPr="00FC78A9">
        <w:rPr>
          <w:rFonts w:ascii="Arial" w:hAnsi="Arial" w:cs="Arial"/>
          <w:sz w:val="24"/>
          <w:szCs w:val="24"/>
        </w:rPr>
        <w:t>The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American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Association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of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Endocrine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Surgeons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Guidelines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FC78A9">
        <w:rPr>
          <w:rFonts w:ascii="Arial" w:hAnsi="Arial" w:cs="Arial"/>
          <w:sz w:val="24"/>
          <w:szCs w:val="24"/>
        </w:rPr>
        <w:t>Definitive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FC78A9">
        <w:rPr>
          <w:rFonts w:ascii="Arial" w:hAnsi="Arial" w:cs="Arial"/>
          <w:sz w:val="24"/>
          <w:szCs w:val="24"/>
        </w:rPr>
        <w:t>of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Primary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78A9">
        <w:rPr>
          <w:rFonts w:ascii="Arial" w:hAnsi="Arial" w:cs="Arial"/>
          <w:sz w:val="24"/>
          <w:szCs w:val="24"/>
        </w:rPr>
        <w:t>Hyperparathyroidism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. </w:t>
      </w:r>
      <w:hyperlink r:id="rId11" w:tooltip="JAMA surgery." w:history="1">
        <w:r w:rsidRPr="00FC78A9">
          <w:rPr>
            <w:rFonts w:ascii="Arial" w:hAnsi="Arial" w:cs="Arial"/>
            <w:sz w:val="24"/>
            <w:szCs w:val="24"/>
          </w:rPr>
          <w:t xml:space="preserve">JAMA </w:t>
        </w:r>
        <w:proofErr w:type="spellStart"/>
        <w:r w:rsidRPr="00FC78A9">
          <w:rPr>
            <w:rFonts w:ascii="Arial" w:hAnsi="Arial" w:cs="Arial"/>
            <w:sz w:val="24"/>
            <w:szCs w:val="24"/>
          </w:rPr>
          <w:t>Surg</w:t>
        </w:r>
        <w:proofErr w:type="spellEnd"/>
        <w:r w:rsidRPr="00FC78A9">
          <w:rPr>
            <w:rFonts w:ascii="Arial" w:hAnsi="Arial" w:cs="Arial"/>
            <w:sz w:val="24"/>
            <w:szCs w:val="24"/>
          </w:rPr>
          <w:t>.</w:t>
        </w:r>
      </w:hyperlink>
      <w:r w:rsidRPr="00FC78A9">
        <w:rPr>
          <w:rFonts w:ascii="Arial" w:hAnsi="Arial" w:cs="Arial"/>
          <w:sz w:val="24"/>
          <w:szCs w:val="24"/>
        </w:rPr>
        <w:t xml:space="preserve"> 2016 </w:t>
      </w:r>
      <w:proofErr w:type="spellStart"/>
      <w:r w:rsidRPr="00FC78A9">
        <w:rPr>
          <w:rFonts w:ascii="Arial" w:hAnsi="Arial" w:cs="Arial"/>
          <w:sz w:val="24"/>
          <w:szCs w:val="24"/>
        </w:rPr>
        <w:t>Aug</w:t>
      </w:r>
      <w:proofErr w:type="spellEnd"/>
      <w:r w:rsidRPr="00FC78A9">
        <w:rPr>
          <w:rFonts w:ascii="Arial" w:hAnsi="Arial" w:cs="Arial"/>
          <w:sz w:val="24"/>
          <w:szCs w:val="24"/>
        </w:rPr>
        <w:t xml:space="preserve"> (10)</w:t>
      </w:r>
    </w:p>
    <w:p w:rsidR="001E5525" w:rsidRPr="0098325E" w:rsidRDefault="001E5525" w:rsidP="001E5525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George J, </w:t>
      </w:r>
      <w:proofErr w:type="spellStart"/>
      <w:r w:rsidRPr="0098325E">
        <w:rPr>
          <w:rFonts w:ascii="Arial" w:hAnsi="Arial" w:cs="Arial"/>
          <w:sz w:val="24"/>
          <w:szCs w:val="24"/>
        </w:rPr>
        <w:t>Acharya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98325E">
        <w:rPr>
          <w:rFonts w:ascii="Arial" w:hAnsi="Arial" w:cs="Arial"/>
          <w:sz w:val="24"/>
          <w:szCs w:val="24"/>
        </w:rPr>
        <w:t>Bandgar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T, </w:t>
      </w:r>
      <w:proofErr w:type="spellStart"/>
      <w:r w:rsidRPr="0098325E">
        <w:rPr>
          <w:rFonts w:ascii="Arial" w:hAnsi="Arial" w:cs="Arial"/>
          <w:sz w:val="24"/>
          <w:szCs w:val="24"/>
        </w:rPr>
        <w:t>Menon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98325E">
        <w:rPr>
          <w:rFonts w:ascii="Arial" w:hAnsi="Arial" w:cs="Arial"/>
          <w:sz w:val="24"/>
          <w:szCs w:val="24"/>
        </w:rPr>
        <w:t>Shah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N. </w:t>
      </w:r>
      <w:proofErr w:type="spellStart"/>
      <w:r w:rsidRPr="0098325E">
        <w:rPr>
          <w:rFonts w:ascii="Arial" w:hAnsi="Arial" w:cs="Arial"/>
          <w:sz w:val="24"/>
          <w:szCs w:val="24"/>
        </w:rPr>
        <w:t>Primary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hyperparathyroidism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8325E">
        <w:rPr>
          <w:rFonts w:ascii="Arial" w:hAnsi="Arial" w:cs="Arial"/>
          <w:sz w:val="24"/>
          <w:szCs w:val="24"/>
        </w:rPr>
        <w:t>children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and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adolescentes. </w:t>
      </w:r>
      <w:proofErr w:type="spellStart"/>
      <w:r w:rsidRPr="0098325E">
        <w:rPr>
          <w:rFonts w:ascii="Arial" w:hAnsi="Arial" w:cs="Arial"/>
          <w:sz w:val="24"/>
          <w:szCs w:val="24"/>
        </w:rPr>
        <w:t>The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Indian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Journal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of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Pediatrics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2010; 77(2): 175-178</w:t>
      </w:r>
    </w:p>
    <w:p w:rsidR="001E5525" w:rsidRPr="0098325E" w:rsidRDefault="00FC78A9" w:rsidP="001E5525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hyperlink r:id="rId12" w:history="1">
        <w:proofErr w:type="spellStart"/>
        <w:r w:rsidR="001E5525" w:rsidRPr="0098325E">
          <w:rPr>
            <w:rFonts w:ascii="Arial" w:hAnsi="Arial" w:cs="Arial"/>
            <w:sz w:val="24"/>
            <w:szCs w:val="24"/>
          </w:rPr>
          <w:t>Menon</w:t>
        </w:r>
        <w:proofErr w:type="spellEnd"/>
        <w:r w:rsidR="001E5525" w:rsidRPr="0098325E">
          <w:rPr>
            <w:rFonts w:ascii="Arial" w:hAnsi="Arial" w:cs="Arial"/>
            <w:sz w:val="24"/>
            <w:szCs w:val="24"/>
          </w:rPr>
          <w:t xml:space="preserve"> P</w:t>
        </w:r>
      </w:hyperlink>
      <w:r w:rsidR="001E5525" w:rsidRPr="0098325E">
        <w:rPr>
          <w:rFonts w:ascii="Arial" w:hAnsi="Arial" w:cs="Arial"/>
          <w:sz w:val="24"/>
          <w:szCs w:val="24"/>
        </w:rPr>
        <w:t>, 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fldChar w:fldCharType="begin"/>
      </w:r>
      <w:r w:rsidR="001E5525" w:rsidRPr="0098325E">
        <w:rPr>
          <w:rFonts w:ascii="Arial" w:hAnsi="Arial" w:cs="Arial"/>
          <w:sz w:val="24"/>
          <w:szCs w:val="24"/>
        </w:rPr>
        <w:instrText xml:space="preserve"> HYPERLINK "http://www.ncbi.nlm.nih.gov/pubmed/?term=Dayal%20D%5BAuthor%5D&amp;cauthor=true&amp;cauthor_uid=27054596" </w:instrText>
      </w:r>
      <w:r w:rsidR="001E5525" w:rsidRPr="0098325E">
        <w:rPr>
          <w:rFonts w:ascii="Arial" w:hAnsi="Arial" w:cs="Arial"/>
          <w:sz w:val="24"/>
          <w:szCs w:val="24"/>
        </w:rPr>
        <w:fldChar w:fldCharType="separate"/>
      </w:r>
      <w:r w:rsidR="001E5525" w:rsidRPr="0098325E">
        <w:rPr>
          <w:rFonts w:ascii="Arial" w:hAnsi="Arial" w:cs="Arial"/>
          <w:sz w:val="24"/>
          <w:szCs w:val="24"/>
        </w:rPr>
        <w:t>Dayal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D</w:t>
      </w:r>
      <w:r w:rsidR="001E5525" w:rsidRPr="0098325E">
        <w:rPr>
          <w:rFonts w:ascii="Arial" w:hAnsi="Arial" w:cs="Arial"/>
          <w:sz w:val="24"/>
          <w:szCs w:val="24"/>
        </w:rPr>
        <w:fldChar w:fldCharType="end"/>
      </w:r>
      <w:r w:rsidR="001E5525" w:rsidRPr="0098325E">
        <w:rPr>
          <w:rFonts w:ascii="Arial" w:hAnsi="Arial" w:cs="Arial"/>
          <w:sz w:val="24"/>
          <w:szCs w:val="24"/>
        </w:rPr>
        <w:t>, 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fldChar w:fldCharType="begin"/>
      </w:r>
      <w:r w:rsidR="001E5525" w:rsidRPr="0098325E">
        <w:rPr>
          <w:rFonts w:ascii="Arial" w:hAnsi="Arial" w:cs="Arial"/>
          <w:sz w:val="24"/>
          <w:szCs w:val="24"/>
        </w:rPr>
        <w:instrText xml:space="preserve"> HYPERLINK "http://www.ncbi.nlm.nih.gov/pubmed/?term=Rao%20SG%5BAuthor%5D&amp;cauthor=true&amp;cauthor_uid=27054596" </w:instrText>
      </w:r>
      <w:r w:rsidR="001E5525" w:rsidRPr="0098325E">
        <w:rPr>
          <w:rFonts w:ascii="Arial" w:hAnsi="Arial" w:cs="Arial"/>
          <w:sz w:val="24"/>
          <w:szCs w:val="24"/>
        </w:rPr>
        <w:fldChar w:fldCharType="separate"/>
      </w:r>
      <w:r w:rsidR="001E5525" w:rsidRPr="0098325E">
        <w:rPr>
          <w:rFonts w:ascii="Arial" w:hAnsi="Arial" w:cs="Arial"/>
          <w:sz w:val="24"/>
          <w:szCs w:val="24"/>
        </w:rPr>
        <w:t>Rao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SG</w:t>
      </w:r>
      <w:r w:rsidR="001E5525" w:rsidRPr="0098325E">
        <w:rPr>
          <w:rFonts w:ascii="Arial" w:hAnsi="Arial" w:cs="Arial"/>
          <w:sz w:val="24"/>
          <w:szCs w:val="24"/>
        </w:rPr>
        <w:fldChar w:fldCharType="end"/>
      </w:r>
      <w:r w:rsidR="001E5525" w:rsidRPr="0098325E">
        <w:rPr>
          <w:rFonts w:ascii="Arial" w:hAnsi="Arial" w:cs="Arial"/>
          <w:sz w:val="24"/>
          <w:szCs w:val="24"/>
        </w:rPr>
        <w:t>, 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fldChar w:fldCharType="begin"/>
      </w:r>
      <w:r w:rsidR="001E5525" w:rsidRPr="0098325E">
        <w:rPr>
          <w:rFonts w:ascii="Arial" w:hAnsi="Arial" w:cs="Arial"/>
          <w:sz w:val="24"/>
          <w:szCs w:val="24"/>
        </w:rPr>
        <w:instrText xml:space="preserve"> HYPERLINK "http://www.ncbi.nlm.nih.gov/pubmed/?term=Bhattacharya%20A%5BAuthor%5D&amp;cauthor=true&amp;cauthor_uid=27054596" </w:instrText>
      </w:r>
      <w:r w:rsidR="001E5525" w:rsidRPr="0098325E">
        <w:rPr>
          <w:rFonts w:ascii="Arial" w:hAnsi="Arial" w:cs="Arial"/>
          <w:sz w:val="24"/>
          <w:szCs w:val="24"/>
        </w:rPr>
        <w:fldChar w:fldCharType="separate"/>
      </w:r>
      <w:r w:rsidR="001E5525" w:rsidRPr="0098325E">
        <w:rPr>
          <w:rFonts w:ascii="Arial" w:hAnsi="Arial" w:cs="Arial"/>
          <w:sz w:val="24"/>
          <w:szCs w:val="24"/>
        </w:rPr>
        <w:t>Bhattacharya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A</w:t>
      </w:r>
      <w:r w:rsidR="001E5525" w:rsidRPr="0098325E">
        <w:rPr>
          <w:rFonts w:ascii="Arial" w:hAnsi="Arial" w:cs="Arial"/>
          <w:sz w:val="24"/>
          <w:szCs w:val="24"/>
        </w:rPr>
        <w:fldChar w:fldCharType="end"/>
      </w:r>
      <w:r w:rsidR="001E5525" w:rsidRPr="0098325E">
        <w:rPr>
          <w:rFonts w:ascii="Arial" w:hAnsi="Arial" w:cs="Arial"/>
          <w:sz w:val="24"/>
          <w:szCs w:val="24"/>
        </w:rPr>
        <w:t>, 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fldChar w:fldCharType="begin"/>
      </w:r>
      <w:r w:rsidR="001E5525" w:rsidRPr="0098325E">
        <w:rPr>
          <w:rFonts w:ascii="Arial" w:hAnsi="Arial" w:cs="Arial"/>
          <w:sz w:val="24"/>
          <w:szCs w:val="24"/>
        </w:rPr>
        <w:instrText xml:space="preserve"> HYPERLINK "http://www.ncbi.nlm.nih.gov/pubmed/?term=Narasimha%20Rao%20KL%5BAuthor%5D&amp;cauthor=true&amp;cauthor_uid=27054596" </w:instrText>
      </w:r>
      <w:r w:rsidR="001E5525" w:rsidRPr="0098325E">
        <w:rPr>
          <w:rFonts w:ascii="Arial" w:hAnsi="Arial" w:cs="Arial"/>
          <w:sz w:val="24"/>
          <w:szCs w:val="24"/>
        </w:rPr>
        <w:fldChar w:fldCharType="separate"/>
      </w:r>
      <w:r w:rsidR="001E5525" w:rsidRPr="0098325E">
        <w:rPr>
          <w:rFonts w:ascii="Arial" w:hAnsi="Arial" w:cs="Arial"/>
          <w:sz w:val="24"/>
          <w:szCs w:val="24"/>
        </w:rPr>
        <w:t>Narasimha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Rao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KL</w:t>
      </w:r>
      <w:r w:rsidR="001E5525" w:rsidRPr="0098325E">
        <w:rPr>
          <w:rFonts w:ascii="Arial" w:hAnsi="Arial" w:cs="Arial"/>
          <w:sz w:val="24"/>
          <w:szCs w:val="24"/>
        </w:rPr>
        <w:fldChar w:fldCharType="end"/>
      </w:r>
      <w:r w:rsidR="001E5525" w:rsidRPr="009832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Childhood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parathyroid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adenoma: a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rare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but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important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cause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of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nephrolithiasis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Journal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of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Pediatric</w:t>
      </w:r>
      <w:proofErr w:type="spellEnd"/>
      <w:r w:rsidR="001E5525"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5525" w:rsidRPr="0098325E">
        <w:rPr>
          <w:rFonts w:ascii="Arial" w:hAnsi="Arial" w:cs="Arial"/>
          <w:sz w:val="24"/>
          <w:szCs w:val="24"/>
        </w:rPr>
        <w:t>End</w:t>
      </w:r>
      <w:r w:rsidR="00016457">
        <w:rPr>
          <w:rFonts w:ascii="Arial" w:hAnsi="Arial" w:cs="Arial"/>
          <w:sz w:val="24"/>
          <w:szCs w:val="24"/>
        </w:rPr>
        <w:t>ocrinology</w:t>
      </w:r>
      <w:proofErr w:type="spellEnd"/>
      <w:r w:rsidR="000164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457">
        <w:rPr>
          <w:rFonts w:ascii="Arial" w:hAnsi="Arial" w:cs="Arial"/>
          <w:sz w:val="24"/>
          <w:szCs w:val="24"/>
        </w:rPr>
        <w:t>and</w:t>
      </w:r>
      <w:proofErr w:type="spellEnd"/>
      <w:r w:rsidR="000164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6457">
        <w:rPr>
          <w:rFonts w:ascii="Arial" w:hAnsi="Arial" w:cs="Arial"/>
          <w:sz w:val="24"/>
          <w:szCs w:val="24"/>
        </w:rPr>
        <w:t>Metabolism</w:t>
      </w:r>
      <w:proofErr w:type="spellEnd"/>
      <w:r w:rsidR="00016457">
        <w:rPr>
          <w:rFonts w:ascii="Arial" w:hAnsi="Arial" w:cs="Arial"/>
          <w:sz w:val="24"/>
          <w:szCs w:val="24"/>
        </w:rPr>
        <w:t>, 2016; 29(7):853-856</w:t>
      </w:r>
    </w:p>
    <w:p w:rsidR="001E5525" w:rsidRPr="0098325E" w:rsidRDefault="00FC78A9" w:rsidP="001E5525">
      <w:pPr>
        <w:pStyle w:val="Cabealho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</w:pPr>
      <w:hyperlink r:id="rId13" w:history="1">
        <w:proofErr w:type="spellStart"/>
        <w:r w:rsidR="001E5525" w:rsidRPr="0098325E">
          <w:rPr>
            <w:rFonts w:ascii="Arial" w:eastAsiaTheme="minorHAnsi" w:hAnsi="Arial" w:cs="Arial"/>
            <w:b w:val="0"/>
            <w:bCs w:val="0"/>
            <w:kern w:val="0"/>
            <w:sz w:val="24"/>
            <w:szCs w:val="24"/>
            <w:lang w:eastAsia="en-US"/>
          </w:rPr>
          <w:t>Mancilla</w:t>
        </w:r>
        <w:proofErr w:type="spellEnd"/>
      </w:hyperlink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E</w:t>
      </w:r>
      <w:hyperlink r:id="rId14" w:anchor="af0005" w:tooltip="Affiliation: a" w:history="1">
        <w:r w:rsidR="001E5525" w:rsidRPr="0098325E">
          <w:rPr>
            <w:rFonts w:ascii="Arial" w:eastAsiaTheme="minorHAnsi" w:hAnsi="Arial" w:cs="Arial"/>
            <w:b w:val="0"/>
            <w:bCs w:val="0"/>
            <w:kern w:val="0"/>
            <w:sz w:val="24"/>
            <w:szCs w:val="24"/>
            <w:lang w:eastAsia="en-US"/>
          </w:rPr>
          <w:t>,</w:t>
        </w:r>
      </w:hyperlink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Levine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M, 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Adzick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N.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Outcomes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of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minimally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invasive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parathyroidectomy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in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pediatric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patients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with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primary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hyperparathyroidism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owing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to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parathyroid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adenoma: </w:t>
      </w:r>
      <w:proofErr w:type="gram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A single</w:t>
      </w:r>
      <w:proofErr w:type="gram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institution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experience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.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Journal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of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pediatric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 xml:space="preserve"> </w:t>
      </w:r>
      <w:proofErr w:type="spellStart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surgery</w:t>
      </w:r>
      <w:proofErr w:type="spellEnd"/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, 2016</w:t>
      </w:r>
      <w:proofErr w:type="gramStart"/>
      <w:r w:rsidR="008907A3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;(16</w:t>
      </w:r>
      <w:proofErr w:type="gramEnd"/>
      <w:r w:rsidR="008907A3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)60-69</w:t>
      </w:r>
      <w:r w:rsidR="001E5525" w:rsidRPr="0098325E">
        <w:rPr>
          <w:rFonts w:ascii="Arial" w:eastAsiaTheme="minorHAnsi" w:hAnsi="Arial" w:cs="Arial"/>
          <w:b w:val="0"/>
          <w:bCs w:val="0"/>
          <w:kern w:val="0"/>
          <w:sz w:val="24"/>
          <w:szCs w:val="24"/>
          <w:lang w:eastAsia="en-US"/>
        </w:rPr>
        <w:t>.</w:t>
      </w:r>
    </w:p>
    <w:p w:rsidR="001E5525" w:rsidRDefault="001E5525" w:rsidP="007A49C5">
      <w:pPr>
        <w:pStyle w:val="PargrafodaList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lastRenderedPageBreak/>
        <w:t xml:space="preserve">Li C, Yang C, Wang S, </w:t>
      </w:r>
      <w:proofErr w:type="spellStart"/>
      <w:r w:rsidRPr="0098325E">
        <w:rPr>
          <w:rFonts w:ascii="Arial" w:hAnsi="Arial" w:cs="Arial"/>
          <w:sz w:val="24"/>
          <w:szCs w:val="24"/>
        </w:rPr>
        <w:t>Zhang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J, Kong R, </w:t>
      </w:r>
      <w:proofErr w:type="spellStart"/>
      <w:r w:rsidRPr="0098325E">
        <w:rPr>
          <w:rFonts w:ascii="Arial" w:hAnsi="Arial" w:cs="Arial"/>
          <w:sz w:val="24"/>
          <w:szCs w:val="24"/>
        </w:rPr>
        <w:t>Ouyang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J. A 10-year </w:t>
      </w:r>
      <w:proofErr w:type="spellStart"/>
      <w:r w:rsidRPr="0098325E">
        <w:rPr>
          <w:rFonts w:ascii="Arial" w:hAnsi="Arial" w:cs="Arial"/>
          <w:sz w:val="24"/>
          <w:szCs w:val="24"/>
        </w:rPr>
        <w:t>retrospective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study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of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primary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hyperparathyroidism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8325E">
        <w:rPr>
          <w:rFonts w:ascii="Arial" w:hAnsi="Arial" w:cs="Arial"/>
          <w:sz w:val="24"/>
          <w:szCs w:val="24"/>
        </w:rPr>
        <w:t>children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. Experimental </w:t>
      </w:r>
      <w:proofErr w:type="spellStart"/>
      <w:r w:rsidRPr="0098325E">
        <w:rPr>
          <w:rFonts w:ascii="Arial" w:hAnsi="Arial" w:cs="Arial"/>
          <w:sz w:val="24"/>
          <w:szCs w:val="24"/>
        </w:rPr>
        <w:t>and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clinical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endocrinology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&amp; diabetes. </w:t>
      </w:r>
      <w:proofErr w:type="spellStart"/>
      <w:r w:rsidRPr="0098325E">
        <w:rPr>
          <w:rFonts w:ascii="Arial" w:hAnsi="Arial" w:cs="Arial"/>
          <w:sz w:val="24"/>
          <w:szCs w:val="24"/>
        </w:rPr>
        <w:t>Official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journal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325E">
        <w:rPr>
          <w:rFonts w:ascii="Arial" w:hAnsi="Arial" w:cs="Arial"/>
          <w:sz w:val="24"/>
          <w:szCs w:val="24"/>
        </w:rPr>
        <w:t>German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Society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of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Endocrinology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98325E">
        <w:rPr>
          <w:rFonts w:ascii="Arial" w:hAnsi="Arial" w:cs="Arial"/>
          <w:sz w:val="24"/>
          <w:szCs w:val="24"/>
        </w:rPr>
        <w:t>and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] </w:t>
      </w:r>
      <w:proofErr w:type="spellStart"/>
      <w:r w:rsidRPr="0098325E">
        <w:rPr>
          <w:rFonts w:ascii="Arial" w:hAnsi="Arial" w:cs="Arial"/>
          <w:sz w:val="24"/>
          <w:szCs w:val="24"/>
        </w:rPr>
        <w:t>German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Diabetes </w:t>
      </w:r>
      <w:proofErr w:type="spellStart"/>
      <w:r w:rsidRPr="0098325E">
        <w:rPr>
          <w:rFonts w:ascii="Arial" w:hAnsi="Arial" w:cs="Arial"/>
          <w:sz w:val="24"/>
          <w:szCs w:val="24"/>
        </w:rPr>
        <w:t>Association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2012; 120(4): 229-233.</w:t>
      </w: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D37" w:rsidRDefault="009A6D37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D37" w:rsidRDefault="009A6D37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6D37" w:rsidRDefault="009A6D37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A46E8" w:rsidRDefault="00AA46E8" w:rsidP="00AA46E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P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t>6.</w:t>
      </w:r>
    </w:p>
    <w:p w:rsidR="001E5525" w:rsidRP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lastRenderedPageBreak/>
        <w:t>Figuras</w:t>
      </w: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Pr="0098325E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</w:t>
      </w:r>
      <w:r w:rsidRPr="0098325E">
        <w:rPr>
          <w:rFonts w:ascii="Arial" w:hAnsi="Arial" w:cs="Arial"/>
          <w:sz w:val="24"/>
          <w:szCs w:val="24"/>
        </w:rPr>
        <w:t xml:space="preserve"> 1</w:t>
      </w:r>
    </w:p>
    <w:p w:rsidR="001E5525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64206">
        <w:rPr>
          <w:noProof/>
          <w:lang w:eastAsia="pt-PT"/>
        </w:rPr>
        <w:drawing>
          <wp:inline distT="0" distB="0" distL="0" distR="0" wp14:anchorId="61022EDF" wp14:editId="2BCD0A23">
            <wp:extent cx="2603500" cy="1371600"/>
            <wp:effectExtent l="0" t="0" r="6350" b="0"/>
            <wp:docPr id="8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1"/>
                    <pic:cNvPicPr/>
                  </pic:nvPicPr>
                  <pic:blipFill rotWithShape="1">
                    <a:blip r:embed="rId15" cstate="print"/>
                    <a:srcRect l="42331" t="23950" r="32311" b="61103"/>
                    <a:stretch/>
                  </pic:blipFill>
                  <pic:spPr bwMode="auto">
                    <a:xfrm>
                      <a:off x="0" y="0"/>
                      <a:ext cx="2603819" cy="1371768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525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E5525" w:rsidRPr="0098325E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</w:t>
      </w:r>
      <w:r w:rsidRPr="0098325E">
        <w:rPr>
          <w:rFonts w:ascii="Arial" w:hAnsi="Arial" w:cs="Arial"/>
          <w:sz w:val="24"/>
          <w:szCs w:val="24"/>
        </w:rPr>
        <w:t xml:space="preserve"> 2</w:t>
      </w:r>
    </w:p>
    <w:p w:rsidR="001E5525" w:rsidRPr="0098325E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5525"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6FA65B4B" wp14:editId="5C094FD2">
            <wp:simplePos x="0" y="0"/>
            <wp:positionH relativeFrom="column">
              <wp:posOffset>2082800</wp:posOffset>
            </wp:positionH>
            <wp:positionV relativeFrom="paragraph">
              <wp:posOffset>0</wp:posOffset>
            </wp:positionV>
            <wp:extent cx="1110049" cy="1026795"/>
            <wp:effectExtent l="0" t="0" r="0" b="190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0076" t="42617" r="50830" b="2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39" cy="102937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525">
        <w:rPr>
          <w:rFonts w:ascii="Arial" w:hAnsi="Arial" w:cs="Arial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21C01740" wp14:editId="6148AB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79973" cy="1027258"/>
            <wp:effectExtent l="0" t="0" r="0" b="1905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7387" r="5406" b="4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263" cy="103184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2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325E">
        <w:rPr>
          <w:rFonts w:ascii="Arial" w:hAnsi="Arial" w:cs="Arial"/>
          <w:sz w:val="24"/>
          <w:szCs w:val="24"/>
        </w:rPr>
        <w:t>da</w:t>
      </w:r>
      <w:proofErr w:type="gramEnd"/>
      <w:r w:rsidRPr="0098325E">
        <w:rPr>
          <w:rFonts w:ascii="Arial" w:hAnsi="Arial" w:cs="Arial"/>
          <w:sz w:val="24"/>
          <w:szCs w:val="24"/>
        </w:rPr>
        <w:t xml:space="preserve"> paratiroide inferior direita.</w:t>
      </w:r>
    </w:p>
    <w:p w:rsidR="001E5525" w:rsidRPr="0098325E" w:rsidRDefault="001E5525" w:rsidP="001E55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>.</w:t>
      </w: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</w:t>
      </w: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64206">
        <w:rPr>
          <w:noProof/>
          <w:lang w:eastAsia="pt-PT"/>
        </w:rPr>
        <w:drawing>
          <wp:inline distT="0" distB="0" distL="0" distR="0" wp14:anchorId="665AA6D8" wp14:editId="3EBFAB06">
            <wp:extent cx="2088232" cy="1008112"/>
            <wp:effectExtent l="0" t="0" r="7620" b="1905"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875" t="30250" r="15735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100811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5525" w:rsidRPr="001E5525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t xml:space="preserve">7. </w:t>
      </w:r>
    </w:p>
    <w:p w:rsidR="001E5525" w:rsidRPr="0098325E" w:rsidRDefault="001E5525" w:rsidP="0098325E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1DF8" w:rsidRPr="0098325E" w:rsidRDefault="00C61DF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>Tabela 1</w:t>
      </w:r>
    </w:p>
    <w:tbl>
      <w:tblPr>
        <w:tblStyle w:val="TabelacomGrelhaClara"/>
        <w:tblW w:w="6091" w:type="dxa"/>
        <w:tblLook w:val="0420" w:firstRow="1" w:lastRow="0" w:firstColumn="0" w:lastColumn="0" w:noHBand="0" w:noVBand="1"/>
      </w:tblPr>
      <w:tblGrid>
        <w:gridCol w:w="2830"/>
        <w:gridCol w:w="3261"/>
      </w:tblGrid>
      <w:tr w:rsidR="00C61DF8" w:rsidRPr="0098325E" w:rsidTr="008F0960">
        <w:trPr>
          <w:trHeight w:val="466"/>
        </w:trPr>
        <w:tc>
          <w:tcPr>
            <w:tcW w:w="6091" w:type="dxa"/>
            <w:gridSpan w:val="2"/>
            <w:hideMark/>
          </w:tcPr>
          <w:p w:rsidR="00C61DF8" w:rsidRPr="008F0960" w:rsidRDefault="00C61DF8" w:rsidP="0098325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960">
              <w:rPr>
                <w:rFonts w:ascii="Arial" w:hAnsi="Arial" w:cs="Arial"/>
                <w:b/>
                <w:sz w:val="24"/>
                <w:szCs w:val="24"/>
              </w:rPr>
              <w:t>Avaliação laboratorial</w:t>
            </w:r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Hemoglobina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14,7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Eritrócitos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5,06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x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 xml:space="preserve"> 10^12/L</w:t>
            </w:r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Ureia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25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Creatinina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0,6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Fósforo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3,9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Cálcio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12,3 </w:t>
            </w:r>
            <w:proofErr w:type="gramStart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Magnésio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2,2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Ácido Úrico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4,6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Fosfatase</w:t>
            </w:r>
            <w:proofErr w:type="spellEnd"/>
            <w:r w:rsidRPr="0098325E">
              <w:rPr>
                <w:rFonts w:ascii="Arial" w:hAnsi="Arial" w:cs="Arial"/>
                <w:sz w:val="24"/>
                <w:szCs w:val="24"/>
              </w:rPr>
              <w:t xml:space="preserve"> alcalina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494 UI/L</w:t>
            </w:r>
          </w:p>
        </w:tc>
      </w:tr>
      <w:tr w:rsidR="00C61DF8" w:rsidRPr="0098325E" w:rsidTr="008F0960">
        <w:trPr>
          <w:trHeight w:val="345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PTH</w:t>
            </w:r>
          </w:p>
        </w:tc>
        <w:tc>
          <w:tcPr>
            <w:tcW w:w="3261" w:type="dxa"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199,7 </w:t>
            </w:r>
            <w:proofErr w:type="spellStart"/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pg</w:t>
            </w:r>
            <w:proofErr w:type="spellEnd"/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mL</w:t>
            </w:r>
            <w:proofErr w:type="spellEnd"/>
          </w:p>
        </w:tc>
      </w:tr>
      <w:tr w:rsidR="00C61DF8" w:rsidRPr="0098325E" w:rsidTr="008F0960">
        <w:trPr>
          <w:trHeight w:val="50"/>
        </w:trPr>
        <w:tc>
          <w:tcPr>
            <w:tcW w:w="2830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sz w:val="24"/>
                <w:szCs w:val="24"/>
              </w:rPr>
              <w:t>Vitamina D</w:t>
            </w:r>
          </w:p>
        </w:tc>
        <w:tc>
          <w:tcPr>
            <w:tcW w:w="3261" w:type="dxa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sz w:val="24"/>
                <w:szCs w:val="24"/>
              </w:rPr>
              <w:t xml:space="preserve">7,1 </w:t>
            </w:r>
            <w:proofErr w:type="spellStart"/>
            <w:proofErr w:type="gramStart"/>
            <w:r w:rsidRPr="0098325E">
              <w:rPr>
                <w:rFonts w:ascii="Arial" w:hAnsi="Arial" w:cs="Arial"/>
                <w:b/>
                <w:sz w:val="24"/>
                <w:szCs w:val="24"/>
              </w:rPr>
              <w:t>ng</w:t>
            </w:r>
            <w:proofErr w:type="spellEnd"/>
            <w:proofErr w:type="gramEnd"/>
            <w:r w:rsidRPr="0098325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b/>
                <w:sz w:val="24"/>
                <w:szCs w:val="24"/>
              </w:rPr>
              <w:t>mL</w:t>
            </w:r>
            <w:proofErr w:type="spellEnd"/>
          </w:p>
        </w:tc>
      </w:tr>
      <w:tr w:rsidR="00C61DF8" w:rsidRPr="0098325E" w:rsidTr="008F0960">
        <w:trPr>
          <w:trHeight w:val="431"/>
        </w:trPr>
        <w:tc>
          <w:tcPr>
            <w:tcW w:w="2830" w:type="dxa"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TSH</w:t>
            </w:r>
          </w:p>
        </w:tc>
        <w:tc>
          <w:tcPr>
            <w:tcW w:w="3261" w:type="dxa"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2,99mU/L</w:t>
            </w:r>
          </w:p>
        </w:tc>
      </w:tr>
      <w:tr w:rsidR="00C61DF8" w:rsidRPr="0098325E" w:rsidTr="008F0960">
        <w:trPr>
          <w:trHeight w:val="424"/>
        </w:trPr>
        <w:tc>
          <w:tcPr>
            <w:tcW w:w="2830" w:type="dxa"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T4 livre</w:t>
            </w:r>
          </w:p>
        </w:tc>
        <w:tc>
          <w:tcPr>
            <w:tcW w:w="3261" w:type="dxa"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1,07 </w:t>
            </w:r>
            <w:proofErr w:type="spellStart"/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ng</w:t>
            </w:r>
            <w:proofErr w:type="spellEnd"/>
            <w:proofErr w:type="gramEnd"/>
            <w:r w:rsidRPr="0098325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dL</w:t>
            </w:r>
            <w:proofErr w:type="spellEnd"/>
          </w:p>
        </w:tc>
      </w:tr>
    </w:tbl>
    <w:p w:rsidR="00C61DF8" w:rsidRPr="0098325E" w:rsidRDefault="00C61DF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1DF8" w:rsidRPr="0098325E" w:rsidRDefault="00C61DF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>Tabela 2</w:t>
      </w:r>
    </w:p>
    <w:tbl>
      <w:tblPr>
        <w:tblStyle w:val="TabeladeGrelha1Clara"/>
        <w:tblW w:w="6091" w:type="dxa"/>
        <w:tblLook w:val="0420" w:firstRow="1" w:lastRow="0" w:firstColumn="0" w:lastColumn="0" w:noHBand="0" w:noVBand="1"/>
      </w:tblPr>
      <w:tblGrid>
        <w:gridCol w:w="2820"/>
        <w:gridCol w:w="3271"/>
      </w:tblGrid>
      <w:tr w:rsidR="00C61DF8" w:rsidRPr="0098325E" w:rsidTr="008F0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6091" w:type="dxa"/>
            <w:gridSpan w:val="2"/>
            <w:vAlign w:val="center"/>
            <w:hideMark/>
          </w:tcPr>
          <w:p w:rsidR="00C61DF8" w:rsidRPr="0098325E" w:rsidRDefault="00964206" w:rsidP="0098325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Análise de urina</w:t>
            </w:r>
            <w:r w:rsidR="00C61DF8" w:rsidRPr="009832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325E">
              <w:rPr>
                <w:rFonts w:ascii="Arial" w:hAnsi="Arial" w:cs="Arial"/>
                <w:sz w:val="24"/>
                <w:szCs w:val="24"/>
              </w:rPr>
              <w:t>de</w:t>
            </w:r>
            <w:r w:rsidR="00C61DF8" w:rsidRPr="0098325E">
              <w:rPr>
                <w:rFonts w:ascii="Arial" w:hAnsi="Arial" w:cs="Arial"/>
                <w:sz w:val="24"/>
                <w:szCs w:val="24"/>
              </w:rPr>
              <w:t xml:space="preserve"> 24 horas</w:t>
            </w:r>
          </w:p>
        </w:tc>
      </w:tr>
      <w:tr w:rsidR="00C61DF8" w:rsidRPr="0098325E" w:rsidTr="008F0960">
        <w:trPr>
          <w:trHeight w:val="404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Creatinina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1,5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g</w:t>
            </w:r>
            <w:proofErr w:type="gramEnd"/>
          </w:p>
        </w:tc>
      </w:tr>
      <w:tr w:rsidR="00C61DF8" w:rsidRPr="0098325E" w:rsidTr="008F0960">
        <w:trPr>
          <w:trHeight w:val="382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Cálcio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546 </w:t>
            </w:r>
            <w:proofErr w:type="gramStart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10,9 mg/kg/24h </w:t>
            </w:r>
          </w:p>
        </w:tc>
      </w:tr>
      <w:tr w:rsidR="00C61DF8" w:rsidRPr="0098325E" w:rsidTr="008F0960">
        <w:trPr>
          <w:trHeight w:val="339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Fósforo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1871.1 </w:t>
            </w:r>
            <w:proofErr w:type="gramStart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>mg</w:t>
            </w:r>
            <w:proofErr w:type="gramEnd"/>
            <w:r w:rsidRPr="009832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37 mg/kg/24h </w:t>
            </w:r>
          </w:p>
        </w:tc>
      </w:tr>
      <w:tr w:rsidR="00C61DF8" w:rsidRPr="0098325E" w:rsidTr="008F0960">
        <w:trPr>
          <w:trHeight w:val="404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Ácido Úrico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569.9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</w:p>
        </w:tc>
      </w:tr>
      <w:tr w:rsidR="00C61DF8" w:rsidRPr="0098325E" w:rsidTr="008F0960">
        <w:trPr>
          <w:trHeight w:val="404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Oxalatos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16 </w:t>
            </w:r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mg</w:t>
            </w:r>
            <w:proofErr w:type="gramEnd"/>
          </w:p>
        </w:tc>
      </w:tr>
      <w:tr w:rsidR="00C61DF8" w:rsidRPr="0098325E" w:rsidTr="008F0960">
        <w:trPr>
          <w:trHeight w:val="404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Citratos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4,4 </w:t>
            </w:r>
            <w:proofErr w:type="spellStart"/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mmol</w:t>
            </w:r>
            <w:proofErr w:type="spellEnd"/>
            <w:proofErr w:type="gramEnd"/>
          </w:p>
        </w:tc>
      </w:tr>
      <w:tr w:rsidR="00C61DF8" w:rsidRPr="0098325E" w:rsidTr="008F0960">
        <w:trPr>
          <w:trHeight w:val="404"/>
        </w:trPr>
        <w:tc>
          <w:tcPr>
            <w:tcW w:w="2820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Cistina</w:t>
            </w:r>
          </w:p>
        </w:tc>
        <w:tc>
          <w:tcPr>
            <w:tcW w:w="3271" w:type="dxa"/>
            <w:vAlign w:val="center"/>
            <w:hideMark/>
          </w:tcPr>
          <w:p w:rsidR="00C61DF8" w:rsidRPr="0098325E" w:rsidRDefault="00C61DF8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>Negativo</w:t>
            </w:r>
          </w:p>
        </w:tc>
      </w:tr>
      <w:tr w:rsidR="00964206" w:rsidRPr="0098325E" w:rsidTr="008F0960">
        <w:trPr>
          <w:trHeight w:val="404"/>
        </w:trPr>
        <w:tc>
          <w:tcPr>
            <w:tcW w:w="2820" w:type="dxa"/>
            <w:vAlign w:val="center"/>
          </w:tcPr>
          <w:p w:rsidR="00964206" w:rsidRPr="0098325E" w:rsidRDefault="00964206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325E">
              <w:rPr>
                <w:rFonts w:ascii="Arial" w:hAnsi="Arial" w:cs="Arial"/>
                <w:sz w:val="24"/>
                <w:szCs w:val="24"/>
              </w:rPr>
              <w:t>Metanefrinas</w:t>
            </w:r>
            <w:proofErr w:type="spellEnd"/>
            <w:r w:rsidRPr="0098325E">
              <w:rPr>
                <w:rFonts w:ascii="Arial" w:hAnsi="Arial" w:cs="Arial"/>
                <w:sz w:val="24"/>
                <w:szCs w:val="24"/>
              </w:rPr>
              <w:t xml:space="preserve"> totais</w:t>
            </w:r>
          </w:p>
        </w:tc>
        <w:tc>
          <w:tcPr>
            <w:tcW w:w="3271" w:type="dxa"/>
            <w:vAlign w:val="center"/>
          </w:tcPr>
          <w:p w:rsidR="00964206" w:rsidRPr="0098325E" w:rsidRDefault="00964206" w:rsidP="0098325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325E">
              <w:rPr>
                <w:rFonts w:ascii="Arial" w:hAnsi="Arial" w:cs="Arial"/>
                <w:sz w:val="24"/>
                <w:szCs w:val="24"/>
              </w:rPr>
              <w:t xml:space="preserve">299 </w:t>
            </w:r>
            <w:proofErr w:type="spellStart"/>
            <w:proofErr w:type="gramStart"/>
            <w:r w:rsidRPr="0098325E">
              <w:rPr>
                <w:rFonts w:ascii="Arial" w:hAnsi="Arial" w:cs="Arial"/>
                <w:sz w:val="24"/>
                <w:szCs w:val="24"/>
              </w:rPr>
              <w:t>ug</w:t>
            </w:r>
            <w:proofErr w:type="spellEnd"/>
            <w:proofErr w:type="gramEnd"/>
          </w:p>
        </w:tc>
      </w:tr>
    </w:tbl>
    <w:p w:rsidR="00C61DF8" w:rsidRPr="0098325E" w:rsidRDefault="00C61DF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4206" w:rsidRDefault="00964206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960" w:rsidRDefault="008F0960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960" w:rsidRDefault="008F0960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0960" w:rsidRPr="001E5525" w:rsidRDefault="001E5525" w:rsidP="009832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E5525">
        <w:rPr>
          <w:rFonts w:ascii="Arial" w:hAnsi="Arial" w:cs="Arial"/>
          <w:b/>
          <w:sz w:val="24"/>
          <w:szCs w:val="24"/>
        </w:rPr>
        <w:t>8.</w:t>
      </w:r>
    </w:p>
    <w:p w:rsidR="00806EE8" w:rsidRPr="00806EE8" w:rsidRDefault="00806EE8" w:rsidP="0098325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06EE8">
        <w:rPr>
          <w:rFonts w:ascii="Arial" w:hAnsi="Arial" w:cs="Arial"/>
          <w:b/>
          <w:sz w:val="24"/>
          <w:szCs w:val="24"/>
        </w:rPr>
        <w:lastRenderedPageBreak/>
        <w:t>Legendas</w:t>
      </w: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1DF8" w:rsidRPr="0098325E" w:rsidRDefault="00380079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</w:t>
      </w:r>
      <w:r w:rsidR="00964206" w:rsidRPr="0098325E">
        <w:rPr>
          <w:rFonts w:ascii="Arial" w:hAnsi="Arial" w:cs="Arial"/>
          <w:sz w:val="24"/>
          <w:szCs w:val="24"/>
        </w:rPr>
        <w:t xml:space="preserve"> 1</w:t>
      </w:r>
    </w:p>
    <w:p w:rsidR="00964206" w:rsidRPr="0098325E" w:rsidRDefault="00964206" w:rsidP="009832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Ecografia da tiroide e paratiroide: </w:t>
      </w:r>
      <w:r w:rsidRPr="0098325E">
        <w:rPr>
          <w:rFonts w:ascii="Arial" w:hAnsi="Arial" w:cs="Arial"/>
          <w:bCs/>
          <w:sz w:val="24"/>
          <w:szCs w:val="24"/>
        </w:rPr>
        <w:t xml:space="preserve">nódulo sólido, </w:t>
      </w:r>
      <w:proofErr w:type="spellStart"/>
      <w:r w:rsidRPr="0098325E">
        <w:rPr>
          <w:rFonts w:ascii="Arial" w:hAnsi="Arial" w:cs="Arial"/>
          <w:bCs/>
          <w:sz w:val="24"/>
          <w:szCs w:val="24"/>
        </w:rPr>
        <w:t>hipoecogéneo</w:t>
      </w:r>
      <w:proofErr w:type="spellEnd"/>
      <w:r w:rsidRPr="0098325E">
        <w:rPr>
          <w:rFonts w:ascii="Arial" w:hAnsi="Arial" w:cs="Arial"/>
          <w:bCs/>
          <w:sz w:val="24"/>
          <w:szCs w:val="24"/>
        </w:rPr>
        <w:t xml:space="preserve"> e homogéneo com 19x7x5mm</w:t>
      </w:r>
      <w:r w:rsidRPr="0098325E">
        <w:rPr>
          <w:rFonts w:ascii="Arial" w:hAnsi="Arial" w:cs="Arial"/>
          <w:sz w:val="24"/>
          <w:szCs w:val="24"/>
        </w:rPr>
        <w:t xml:space="preserve"> localizado </w:t>
      </w:r>
      <w:r w:rsidR="00F85371">
        <w:rPr>
          <w:rFonts w:ascii="Arial" w:hAnsi="Arial" w:cs="Arial"/>
          <w:sz w:val="24"/>
          <w:szCs w:val="24"/>
        </w:rPr>
        <w:t>na paratiroide direita</w:t>
      </w:r>
      <w:r w:rsidRPr="0098325E">
        <w:rPr>
          <w:rFonts w:ascii="Arial" w:hAnsi="Arial" w:cs="Arial"/>
          <w:sz w:val="24"/>
          <w:szCs w:val="24"/>
        </w:rPr>
        <w:t xml:space="preserve">, sugestivo de </w:t>
      </w:r>
      <w:r w:rsidRPr="0098325E">
        <w:rPr>
          <w:rFonts w:ascii="Arial" w:hAnsi="Arial" w:cs="Arial"/>
          <w:bCs/>
          <w:sz w:val="24"/>
          <w:szCs w:val="24"/>
        </w:rPr>
        <w:t>adenoma.</w:t>
      </w:r>
    </w:p>
    <w:p w:rsidR="008F0960" w:rsidRDefault="008F0960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4206" w:rsidRPr="0098325E" w:rsidRDefault="00380079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</w:t>
      </w:r>
      <w:r w:rsidR="00964206" w:rsidRPr="0098325E">
        <w:rPr>
          <w:rFonts w:ascii="Arial" w:hAnsi="Arial" w:cs="Arial"/>
          <w:sz w:val="24"/>
          <w:szCs w:val="24"/>
        </w:rPr>
        <w:t xml:space="preserve"> 2</w:t>
      </w:r>
    </w:p>
    <w:p w:rsidR="00964206" w:rsidRPr="0098325E" w:rsidRDefault="00964206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Cintigrafia da </w:t>
      </w:r>
      <w:r w:rsidR="00D4399C" w:rsidRPr="0098325E">
        <w:rPr>
          <w:rFonts w:ascii="Arial" w:hAnsi="Arial" w:cs="Arial"/>
          <w:sz w:val="24"/>
          <w:szCs w:val="24"/>
        </w:rPr>
        <w:t>tiroide</w:t>
      </w:r>
      <w:r w:rsidRPr="0098325E">
        <w:rPr>
          <w:rFonts w:ascii="Arial" w:hAnsi="Arial" w:cs="Arial"/>
          <w:sz w:val="24"/>
          <w:szCs w:val="24"/>
        </w:rPr>
        <w:t xml:space="preserve"> e paratiroide: tecido </w:t>
      </w:r>
      <w:proofErr w:type="spellStart"/>
      <w:r w:rsidRPr="0098325E">
        <w:rPr>
          <w:rFonts w:ascii="Arial" w:hAnsi="Arial" w:cs="Arial"/>
          <w:sz w:val="24"/>
          <w:szCs w:val="24"/>
        </w:rPr>
        <w:t>paratiroideu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25E">
        <w:rPr>
          <w:rFonts w:ascii="Arial" w:hAnsi="Arial" w:cs="Arial"/>
          <w:sz w:val="24"/>
          <w:szCs w:val="24"/>
        </w:rPr>
        <w:t>hiperfuncionante</w:t>
      </w:r>
      <w:proofErr w:type="spellEnd"/>
      <w:r w:rsidRPr="0098325E">
        <w:rPr>
          <w:rFonts w:ascii="Arial" w:hAnsi="Arial" w:cs="Arial"/>
          <w:sz w:val="24"/>
          <w:szCs w:val="24"/>
        </w:rPr>
        <w:t xml:space="preserve"> ao nível da </w:t>
      </w:r>
      <w:r w:rsidR="00D4399C" w:rsidRPr="0098325E">
        <w:rPr>
          <w:rFonts w:ascii="Arial" w:hAnsi="Arial" w:cs="Arial"/>
          <w:sz w:val="24"/>
          <w:szCs w:val="24"/>
        </w:rPr>
        <w:t>paratiroide</w:t>
      </w:r>
      <w:r w:rsidRPr="0098325E">
        <w:rPr>
          <w:rFonts w:ascii="Arial" w:hAnsi="Arial" w:cs="Arial"/>
          <w:sz w:val="24"/>
          <w:szCs w:val="24"/>
        </w:rPr>
        <w:t xml:space="preserve"> inferior direita.</w:t>
      </w:r>
    </w:p>
    <w:p w:rsidR="008F0960" w:rsidRDefault="008F0960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64206" w:rsidRPr="0098325E" w:rsidRDefault="00380079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</w:t>
      </w:r>
      <w:r w:rsidR="00964206" w:rsidRPr="0098325E">
        <w:rPr>
          <w:rFonts w:ascii="Arial" w:hAnsi="Arial" w:cs="Arial"/>
          <w:sz w:val="24"/>
          <w:szCs w:val="24"/>
        </w:rPr>
        <w:t xml:space="preserve"> 3</w:t>
      </w:r>
    </w:p>
    <w:p w:rsidR="009561B0" w:rsidRPr="0098325E" w:rsidRDefault="009561B0" w:rsidP="009832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8325E">
        <w:rPr>
          <w:rFonts w:ascii="Arial" w:hAnsi="Arial" w:cs="Arial"/>
          <w:sz w:val="24"/>
          <w:szCs w:val="24"/>
        </w:rPr>
        <w:t xml:space="preserve">Glândula </w:t>
      </w:r>
      <w:proofErr w:type="spellStart"/>
      <w:r w:rsidRPr="0098325E">
        <w:rPr>
          <w:rFonts w:ascii="Arial" w:hAnsi="Arial" w:cs="Arial"/>
          <w:sz w:val="24"/>
          <w:szCs w:val="24"/>
        </w:rPr>
        <w:t>paratiroideia</w:t>
      </w:r>
      <w:proofErr w:type="spellEnd"/>
      <w:r w:rsidR="00D54469" w:rsidRPr="0098325E">
        <w:rPr>
          <w:rFonts w:ascii="Arial" w:hAnsi="Arial" w:cs="Arial"/>
          <w:sz w:val="24"/>
          <w:szCs w:val="24"/>
        </w:rPr>
        <w:t xml:space="preserve"> inferior direita excisada, cujo exame histológico </w:t>
      </w:r>
      <w:r w:rsidRPr="0098325E">
        <w:rPr>
          <w:rFonts w:ascii="Arial" w:hAnsi="Arial" w:cs="Arial"/>
          <w:sz w:val="24"/>
          <w:szCs w:val="24"/>
        </w:rPr>
        <w:t>revelou hiperplasia de células principais.</w:t>
      </w:r>
    </w:p>
    <w:p w:rsidR="00964206" w:rsidRPr="0098325E" w:rsidRDefault="00964206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Default="00EF1E05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6EE8" w:rsidRDefault="00806EE8" w:rsidP="009832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1E05" w:rsidRPr="0098325E" w:rsidRDefault="00EF1E05" w:rsidP="0098325E">
      <w:pPr>
        <w:shd w:val="clear" w:color="auto" w:fill="FFFFFF"/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EF1E05" w:rsidRPr="00983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309D"/>
    <w:multiLevelType w:val="hybridMultilevel"/>
    <w:tmpl w:val="CCAA2F3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D788D"/>
    <w:multiLevelType w:val="hybridMultilevel"/>
    <w:tmpl w:val="B51A23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46C0B"/>
    <w:multiLevelType w:val="multilevel"/>
    <w:tmpl w:val="5BE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2243D"/>
    <w:multiLevelType w:val="hybridMultilevel"/>
    <w:tmpl w:val="52864E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7F"/>
    <w:rsid w:val="00004568"/>
    <w:rsid w:val="00016457"/>
    <w:rsid w:val="00036CE6"/>
    <w:rsid w:val="00055E28"/>
    <w:rsid w:val="0006039A"/>
    <w:rsid w:val="000F0C67"/>
    <w:rsid w:val="000F15DA"/>
    <w:rsid w:val="00102772"/>
    <w:rsid w:val="00105314"/>
    <w:rsid w:val="0011076F"/>
    <w:rsid w:val="00152891"/>
    <w:rsid w:val="00167231"/>
    <w:rsid w:val="00187A6A"/>
    <w:rsid w:val="001D4DA0"/>
    <w:rsid w:val="001E5525"/>
    <w:rsid w:val="001F1AA5"/>
    <w:rsid w:val="00275C42"/>
    <w:rsid w:val="002A60BE"/>
    <w:rsid w:val="002C01F9"/>
    <w:rsid w:val="002C36DD"/>
    <w:rsid w:val="002C71B5"/>
    <w:rsid w:val="002F5B99"/>
    <w:rsid w:val="002F67BC"/>
    <w:rsid w:val="00340AD7"/>
    <w:rsid w:val="00356C7E"/>
    <w:rsid w:val="00362182"/>
    <w:rsid w:val="0036287E"/>
    <w:rsid w:val="00373F29"/>
    <w:rsid w:val="00380079"/>
    <w:rsid w:val="003C2634"/>
    <w:rsid w:val="00426F11"/>
    <w:rsid w:val="00472201"/>
    <w:rsid w:val="004A174D"/>
    <w:rsid w:val="004A2E87"/>
    <w:rsid w:val="004C73EA"/>
    <w:rsid w:val="004F09C6"/>
    <w:rsid w:val="00565831"/>
    <w:rsid w:val="005A0FBE"/>
    <w:rsid w:val="005B7B45"/>
    <w:rsid w:val="005E581B"/>
    <w:rsid w:val="005F2826"/>
    <w:rsid w:val="006237FE"/>
    <w:rsid w:val="006275E4"/>
    <w:rsid w:val="00653775"/>
    <w:rsid w:val="00692E9D"/>
    <w:rsid w:val="006A5379"/>
    <w:rsid w:val="006B5D68"/>
    <w:rsid w:val="006C3668"/>
    <w:rsid w:val="006E14C2"/>
    <w:rsid w:val="006E690F"/>
    <w:rsid w:val="00714E68"/>
    <w:rsid w:val="00742BC8"/>
    <w:rsid w:val="00745620"/>
    <w:rsid w:val="00766F60"/>
    <w:rsid w:val="007724EA"/>
    <w:rsid w:val="007727ED"/>
    <w:rsid w:val="0078163D"/>
    <w:rsid w:val="00794AF1"/>
    <w:rsid w:val="007963EC"/>
    <w:rsid w:val="007A49C5"/>
    <w:rsid w:val="007C322A"/>
    <w:rsid w:val="00806EE8"/>
    <w:rsid w:val="008405D6"/>
    <w:rsid w:val="00843DED"/>
    <w:rsid w:val="008507F3"/>
    <w:rsid w:val="008907A3"/>
    <w:rsid w:val="008960EB"/>
    <w:rsid w:val="008F0960"/>
    <w:rsid w:val="0091460D"/>
    <w:rsid w:val="00924314"/>
    <w:rsid w:val="009410B2"/>
    <w:rsid w:val="0095257F"/>
    <w:rsid w:val="00955A95"/>
    <w:rsid w:val="009561B0"/>
    <w:rsid w:val="00964206"/>
    <w:rsid w:val="009661C1"/>
    <w:rsid w:val="0098325E"/>
    <w:rsid w:val="009A6D37"/>
    <w:rsid w:val="009B21B4"/>
    <w:rsid w:val="009C78E9"/>
    <w:rsid w:val="009E5CD9"/>
    <w:rsid w:val="00A01FD8"/>
    <w:rsid w:val="00A13A83"/>
    <w:rsid w:val="00A23E4B"/>
    <w:rsid w:val="00A503E0"/>
    <w:rsid w:val="00A52B58"/>
    <w:rsid w:val="00A56207"/>
    <w:rsid w:val="00A63183"/>
    <w:rsid w:val="00A7090A"/>
    <w:rsid w:val="00A76F5A"/>
    <w:rsid w:val="00A9534E"/>
    <w:rsid w:val="00AA46E8"/>
    <w:rsid w:val="00AB4072"/>
    <w:rsid w:val="00AB4128"/>
    <w:rsid w:val="00AC20DD"/>
    <w:rsid w:val="00AE1844"/>
    <w:rsid w:val="00AF31C8"/>
    <w:rsid w:val="00B005E9"/>
    <w:rsid w:val="00B02309"/>
    <w:rsid w:val="00B217F5"/>
    <w:rsid w:val="00B21823"/>
    <w:rsid w:val="00B62D92"/>
    <w:rsid w:val="00B814C0"/>
    <w:rsid w:val="00B85102"/>
    <w:rsid w:val="00BC74AA"/>
    <w:rsid w:val="00BD6F5C"/>
    <w:rsid w:val="00BE1F78"/>
    <w:rsid w:val="00C03FA8"/>
    <w:rsid w:val="00C15777"/>
    <w:rsid w:val="00C235EB"/>
    <w:rsid w:val="00C25702"/>
    <w:rsid w:val="00C61DF8"/>
    <w:rsid w:val="00C8768D"/>
    <w:rsid w:val="00C96ED1"/>
    <w:rsid w:val="00CA2381"/>
    <w:rsid w:val="00CB78ED"/>
    <w:rsid w:val="00CE2DAD"/>
    <w:rsid w:val="00D12D12"/>
    <w:rsid w:val="00D30FE4"/>
    <w:rsid w:val="00D4399C"/>
    <w:rsid w:val="00D54469"/>
    <w:rsid w:val="00D82EA8"/>
    <w:rsid w:val="00DA3D6B"/>
    <w:rsid w:val="00DB3E5B"/>
    <w:rsid w:val="00E3281B"/>
    <w:rsid w:val="00EE6E19"/>
    <w:rsid w:val="00EF1E05"/>
    <w:rsid w:val="00EF5D5C"/>
    <w:rsid w:val="00F03AF1"/>
    <w:rsid w:val="00F157FB"/>
    <w:rsid w:val="00F20E8D"/>
    <w:rsid w:val="00F46080"/>
    <w:rsid w:val="00F67941"/>
    <w:rsid w:val="00F84E50"/>
    <w:rsid w:val="00F85371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7C224-BC59-443D-9703-F924819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7F"/>
  </w:style>
  <w:style w:type="paragraph" w:styleId="Cabealho1">
    <w:name w:val="heading 1"/>
    <w:basedOn w:val="Normal"/>
    <w:link w:val="Cabealho1Carter"/>
    <w:uiPriority w:val="9"/>
    <w:qFormat/>
    <w:rsid w:val="00C96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Simples2">
    <w:name w:val="Plain Table 2"/>
    <w:basedOn w:val="Tabelanormal"/>
    <w:uiPriority w:val="42"/>
    <w:rsid w:val="00C61D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elha1Clara-Destaque4">
    <w:name w:val="Grid Table 1 Light Accent 4"/>
    <w:basedOn w:val="Tabelanormal"/>
    <w:uiPriority w:val="46"/>
    <w:rsid w:val="00C61DF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">
    <w:name w:val="Grid Table 1 Light"/>
    <w:basedOn w:val="Tabelanormal"/>
    <w:uiPriority w:val="46"/>
    <w:rsid w:val="00C61DF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6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EF1E05"/>
    <w:pPr>
      <w:ind w:left="720"/>
      <w:contextualSpacing/>
    </w:pPr>
  </w:style>
  <w:style w:type="character" w:customStyle="1" w:styleId="apple-converted-space">
    <w:name w:val="apple-converted-space"/>
    <w:basedOn w:val="Tipodeletrapredefinidodopargrafo"/>
    <w:rsid w:val="00EF1E05"/>
  </w:style>
  <w:style w:type="character" w:styleId="Hiperligao">
    <w:name w:val="Hyperlink"/>
    <w:basedOn w:val="Tipodeletrapredefinidodopargrafo"/>
    <w:uiPriority w:val="99"/>
    <w:unhideWhenUsed/>
    <w:rsid w:val="00C96ED1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C96ED1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B81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B814C0"/>
    <w:rPr>
      <w:rFonts w:ascii="Courier New" w:eastAsia="Times New Roman" w:hAnsi="Courier New" w:cs="Courier New"/>
      <w:sz w:val="20"/>
      <w:szCs w:val="20"/>
      <w:lang w:eastAsia="pt-PT"/>
    </w:rPr>
  </w:style>
  <w:style w:type="table" w:styleId="TabelacomGrelhaClara">
    <w:name w:val="Grid Table Light"/>
    <w:basedOn w:val="Tabelanormal"/>
    <w:uiPriority w:val="40"/>
    <w:rsid w:val="008F09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o.calhau@hotmail.com" TargetMode="External"/><Relationship Id="rId13" Type="http://schemas.openxmlformats.org/officeDocument/2006/relationships/hyperlink" Target="http://www.sciencedirect.com/science/article/pii/S0022346816000609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margaridagoncalvespinto@gmail.com" TargetMode="External"/><Relationship Id="rId12" Type="http://schemas.openxmlformats.org/officeDocument/2006/relationships/hyperlink" Target="http://www.ncbi.nlm.nih.gov/pubmed/?term=Menon%20P%5BAuthor%5D&amp;cauthor=true&amp;cauthor_uid=27054596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froisborges@gmail.com" TargetMode="External"/><Relationship Id="rId11" Type="http://schemas.openxmlformats.org/officeDocument/2006/relationships/hyperlink" Target="http://www.ncbi.nlm.nih.gov/pubmed/27532368" TargetMode="External"/><Relationship Id="rId5" Type="http://schemas.openxmlformats.org/officeDocument/2006/relationships/hyperlink" Target="mailto:anateresasoares@gmail.com" TargetMode="External"/><Relationship Id="rId15" Type="http://schemas.openxmlformats.org/officeDocument/2006/relationships/image" Target="media/image1.png"/><Relationship Id="rId10" Type="http://schemas.openxmlformats.org/officeDocument/2006/relationships/hyperlink" Target="mailto:isabelmrnascimento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.carlos@netcabo.pt" TargetMode="External"/><Relationship Id="rId14" Type="http://schemas.openxmlformats.org/officeDocument/2006/relationships/hyperlink" Target="http://www.sciencedirect.com/science/article/pii/S00223468160006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2697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Pediatria - Sala UCI Neonatais 2</dc:creator>
  <cp:lastModifiedBy>AnaTeresa</cp:lastModifiedBy>
  <cp:revision>9</cp:revision>
  <dcterms:created xsi:type="dcterms:W3CDTF">2016-09-13T21:09:00Z</dcterms:created>
  <dcterms:modified xsi:type="dcterms:W3CDTF">2016-09-15T17:57:00Z</dcterms:modified>
</cp:coreProperties>
</file>