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ightList-Accent5"/>
        <w:tblpPr w:leftFromText="141" w:rightFromText="141" w:vertAnchor="text" w:horzAnchor="margin" w:tblpY="284"/>
        <w:tblW w:w="0" w:type="auto"/>
        <w:tblLook w:val="04A0" w:firstRow="1" w:lastRow="0" w:firstColumn="1" w:lastColumn="0" w:noHBand="0" w:noVBand="1"/>
      </w:tblPr>
      <w:tblGrid>
        <w:gridCol w:w="1434"/>
        <w:gridCol w:w="1419"/>
        <w:gridCol w:w="1409"/>
        <w:gridCol w:w="1409"/>
        <w:gridCol w:w="1638"/>
        <w:gridCol w:w="1411"/>
      </w:tblGrid>
      <w:tr w:rsidR="00964580" w:rsidRPr="008F6161" w:rsidTr="00F274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0" w:type="dxa"/>
            <w:gridSpan w:val="6"/>
          </w:tcPr>
          <w:p w:rsidR="00964580" w:rsidRPr="005A5CF9" w:rsidRDefault="00964580" w:rsidP="00F274C3">
            <w:pPr>
              <w:autoSpaceDE w:val="0"/>
              <w:autoSpaceDN w:val="0"/>
              <w:adjustRightInd w:val="0"/>
              <w:spacing w:line="360" w:lineRule="auto"/>
              <w:ind w:firstLine="0"/>
              <w:jc w:val="center"/>
              <w:rPr>
                <w:rFonts w:ascii="Calibri" w:hAnsi="Calibri"/>
                <w:lang w:val="en-US"/>
              </w:rPr>
            </w:pPr>
            <w:r w:rsidRPr="005A5CF9">
              <w:rPr>
                <w:rFonts w:ascii="Calibri" w:hAnsi="Calibri"/>
                <w:lang w:val="en-US"/>
              </w:rPr>
              <w:t>Points</w:t>
            </w:r>
          </w:p>
        </w:tc>
      </w:tr>
      <w:tr w:rsidR="00964580" w:rsidRPr="008F6161" w:rsidTr="00F274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4" w:type="dxa"/>
          </w:tcPr>
          <w:p w:rsidR="00964580" w:rsidRPr="005A5CF9" w:rsidRDefault="00964580" w:rsidP="00F274C3">
            <w:pPr>
              <w:autoSpaceDE w:val="0"/>
              <w:autoSpaceDN w:val="0"/>
              <w:adjustRightInd w:val="0"/>
              <w:spacing w:line="360" w:lineRule="auto"/>
              <w:ind w:firstLine="0"/>
              <w:jc w:val="both"/>
              <w:rPr>
                <w:rFonts w:ascii="Calibri" w:hAnsi="Calibri"/>
                <w:lang w:val="en-US"/>
              </w:rPr>
            </w:pPr>
            <w:r w:rsidRPr="005A5CF9">
              <w:rPr>
                <w:rFonts w:ascii="Calibri" w:hAnsi="Calibri"/>
                <w:lang w:val="en-US"/>
              </w:rPr>
              <w:t>Parameter</w:t>
            </w:r>
          </w:p>
        </w:tc>
        <w:tc>
          <w:tcPr>
            <w:tcW w:w="1419" w:type="dxa"/>
          </w:tcPr>
          <w:p w:rsidR="00964580" w:rsidRPr="005A5CF9" w:rsidRDefault="00964580" w:rsidP="00F274C3">
            <w:pPr>
              <w:autoSpaceDE w:val="0"/>
              <w:autoSpaceDN w:val="0"/>
              <w:adjustRightInd w:val="0"/>
              <w:spacing w:line="360" w:lineRule="auto"/>
              <w:ind w:firstLine="0"/>
              <w:jc w:val="center"/>
              <w:cnfStyle w:val="000000100000" w:firstRow="0" w:lastRow="0" w:firstColumn="0" w:lastColumn="0" w:oddVBand="0" w:evenVBand="0" w:oddHBand="1" w:evenHBand="0" w:firstRowFirstColumn="0" w:firstRowLastColumn="0" w:lastRowFirstColumn="0" w:lastRowLastColumn="0"/>
              <w:rPr>
                <w:rFonts w:ascii="Calibri" w:hAnsi="Calibri"/>
                <w:lang w:val="en-US"/>
              </w:rPr>
            </w:pPr>
            <w:r w:rsidRPr="005A5CF9">
              <w:rPr>
                <w:rFonts w:ascii="Calibri" w:hAnsi="Calibri"/>
                <w:lang w:val="en-US"/>
              </w:rPr>
              <w:t>0</w:t>
            </w:r>
          </w:p>
        </w:tc>
        <w:tc>
          <w:tcPr>
            <w:tcW w:w="1409" w:type="dxa"/>
          </w:tcPr>
          <w:p w:rsidR="00964580" w:rsidRPr="005A5CF9" w:rsidRDefault="00964580" w:rsidP="00F274C3">
            <w:pPr>
              <w:autoSpaceDE w:val="0"/>
              <w:autoSpaceDN w:val="0"/>
              <w:adjustRightInd w:val="0"/>
              <w:spacing w:line="360" w:lineRule="auto"/>
              <w:ind w:firstLine="0"/>
              <w:jc w:val="center"/>
              <w:cnfStyle w:val="000000100000" w:firstRow="0" w:lastRow="0" w:firstColumn="0" w:lastColumn="0" w:oddVBand="0" w:evenVBand="0" w:oddHBand="1" w:evenHBand="0" w:firstRowFirstColumn="0" w:firstRowLastColumn="0" w:lastRowFirstColumn="0" w:lastRowLastColumn="0"/>
              <w:rPr>
                <w:rFonts w:ascii="Calibri" w:hAnsi="Calibri"/>
                <w:lang w:val="en-US"/>
              </w:rPr>
            </w:pPr>
            <w:r w:rsidRPr="005A5CF9">
              <w:rPr>
                <w:rFonts w:ascii="Calibri" w:hAnsi="Calibri"/>
                <w:lang w:val="en-US"/>
              </w:rPr>
              <w:t>1</w:t>
            </w:r>
          </w:p>
        </w:tc>
        <w:tc>
          <w:tcPr>
            <w:tcW w:w="1409" w:type="dxa"/>
          </w:tcPr>
          <w:p w:rsidR="00964580" w:rsidRPr="005A5CF9" w:rsidRDefault="00964580" w:rsidP="00F274C3">
            <w:pPr>
              <w:autoSpaceDE w:val="0"/>
              <w:autoSpaceDN w:val="0"/>
              <w:adjustRightInd w:val="0"/>
              <w:spacing w:line="360" w:lineRule="auto"/>
              <w:ind w:firstLine="0"/>
              <w:jc w:val="center"/>
              <w:cnfStyle w:val="000000100000" w:firstRow="0" w:lastRow="0" w:firstColumn="0" w:lastColumn="0" w:oddVBand="0" w:evenVBand="0" w:oddHBand="1" w:evenHBand="0" w:firstRowFirstColumn="0" w:firstRowLastColumn="0" w:lastRowFirstColumn="0" w:lastRowLastColumn="0"/>
              <w:rPr>
                <w:rFonts w:ascii="Calibri" w:hAnsi="Calibri"/>
                <w:lang w:val="en-US"/>
              </w:rPr>
            </w:pPr>
            <w:r w:rsidRPr="005A5CF9">
              <w:rPr>
                <w:rFonts w:ascii="Calibri" w:hAnsi="Calibri"/>
                <w:lang w:val="en-US"/>
              </w:rPr>
              <w:t>2</w:t>
            </w:r>
          </w:p>
        </w:tc>
        <w:tc>
          <w:tcPr>
            <w:tcW w:w="1638" w:type="dxa"/>
          </w:tcPr>
          <w:p w:rsidR="00964580" w:rsidRPr="005A5CF9" w:rsidRDefault="00964580" w:rsidP="00F274C3">
            <w:pPr>
              <w:autoSpaceDE w:val="0"/>
              <w:autoSpaceDN w:val="0"/>
              <w:adjustRightInd w:val="0"/>
              <w:spacing w:line="360" w:lineRule="auto"/>
              <w:ind w:firstLine="0"/>
              <w:jc w:val="center"/>
              <w:cnfStyle w:val="000000100000" w:firstRow="0" w:lastRow="0" w:firstColumn="0" w:lastColumn="0" w:oddVBand="0" w:evenVBand="0" w:oddHBand="1" w:evenHBand="0" w:firstRowFirstColumn="0" w:firstRowLastColumn="0" w:lastRowFirstColumn="0" w:lastRowLastColumn="0"/>
              <w:rPr>
                <w:rFonts w:ascii="Calibri" w:hAnsi="Calibri"/>
                <w:lang w:val="en-US"/>
              </w:rPr>
            </w:pPr>
            <w:r w:rsidRPr="005A5CF9">
              <w:rPr>
                <w:rFonts w:ascii="Calibri" w:hAnsi="Calibri"/>
                <w:lang w:val="en-US"/>
              </w:rPr>
              <w:t>3</w:t>
            </w:r>
          </w:p>
        </w:tc>
        <w:tc>
          <w:tcPr>
            <w:tcW w:w="1411" w:type="dxa"/>
          </w:tcPr>
          <w:p w:rsidR="00964580" w:rsidRPr="005A5CF9" w:rsidRDefault="00964580" w:rsidP="00F274C3">
            <w:pPr>
              <w:autoSpaceDE w:val="0"/>
              <w:autoSpaceDN w:val="0"/>
              <w:adjustRightInd w:val="0"/>
              <w:spacing w:line="360" w:lineRule="auto"/>
              <w:ind w:firstLine="0"/>
              <w:jc w:val="center"/>
              <w:cnfStyle w:val="000000100000" w:firstRow="0" w:lastRow="0" w:firstColumn="0" w:lastColumn="0" w:oddVBand="0" w:evenVBand="0" w:oddHBand="1" w:evenHBand="0" w:firstRowFirstColumn="0" w:firstRowLastColumn="0" w:lastRowFirstColumn="0" w:lastRowLastColumn="0"/>
              <w:rPr>
                <w:rFonts w:ascii="Calibri" w:hAnsi="Calibri"/>
                <w:lang w:val="en-US"/>
              </w:rPr>
            </w:pPr>
            <w:r w:rsidRPr="005A5CF9">
              <w:rPr>
                <w:rFonts w:ascii="Calibri" w:hAnsi="Calibri"/>
                <w:lang w:val="en-US"/>
              </w:rPr>
              <w:t>4</w:t>
            </w:r>
          </w:p>
        </w:tc>
      </w:tr>
      <w:tr w:rsidR="00964580" w:rsidRPr="008F6161" w:rsidTr="00F274C3">
        <w:tc>
          <w:tcPr>
            <w:cnfStyle w:val="001000000000" w:firstRow="0" w:lastRow="0" w:firstColumn="1" w:lastColumn="0" w:oddVBand="0" w:evenVBand="0" w:oddHBand="0" w:evenHBand="0" w:firstRowFirstColumn="0" w:firstRowLastColumn="0" w:lastRowFirstColumn="0" w:lastRowLastColumn="0"/>
            <w:tcW w:w="1434" w:type="dxa"/>
          </w:tcPr>
          <w:p w:rsidR="00964580" w:rsidRPr="005A5CF9" w:rsidRDefault="00964580" w:rsidP="00F274C3">
            <w:pPr>
              <w:autoSpaceDE w:val="0"/>
              <w:autoSpaceDN w:val="0"/>
              <w:adjustRightInd w:val="0"/>
              <w:spacing w:line="360" w:lineRule="auto"/>
              <w:ind w:firstLine="0"/>
              <w:jc w:val="both"/>
              <w:rPr>
                <w:rFonts w:ascii="Calibri" w:hAnsi="Calibri"/>
                <w:lang w:val="en-US"/>
              </w:rPr>
            </w:pPr>
            <w:r w:rsidRPr="005A5CF9">
              <w:rPr>
                <w:rFonts w:ascii="Calibri" w:hAnsi="Calibri"/>
                <w:lang w:val="en-US"/>
              </w:rPr>
              <w:t>Topography</w:t>
            </w:r>
          </w:p>
        </w:tc>
        <w:tc>
          <w:tcPr>
            <w:tcW w:w="1419" w:type="dxa"/>
          </w:tcPr>
          <w:p w:rsidR="00964580" w:rsidRPr="005A5CF9" w:rsidRDefault="00964580" w:rsidP="00F274C3">
            <w:pPr>
              <w:autoSpaceDE w:val="0"/>
              <w:autoSpaceDN w:val="0"/>
              <w:adjustRightInd w:val="0"/>
              <w:spacing w:line="360" w:lineRule="auto"/>
              <w:ind w:firstLine="0"/>
              <w:jc w:val="center"/>
              <w:cnfStyle w:val="000000000000" w:firstRow="0" w:lastRow="0" w:firstColumn="0" w:lastColumn="0" w:oddVBand="0" w:evenVBand="0" w:oddHBand="0" w:evenHBand="0" w:firstRowFirstColumn="0" w:firstRowLastColumn="0" w:lastRowFirstColumn="0" w:lastRowLastColumn="0"/>
              <w:rPr>
                <w:rFonts w:ascii="Calibri" w:hAnsi="Calibri"/>
                <w:lang w:val="en-US"/>
              </w:rPr>
            </w:pPr>
            <w:r w:rsidRPr="005A5CF9">
              <w:rPr>
                <w:rFonts w:ascii="Calibri" w:hAnsi="Calibri"/>
                <w:lang w:val="en-US"/>
              </w:rPr>
              <w:t>Normal</w:t>
            </w:r>
          </w:p>
        </w:tc>
        <w:tc>
          <w:tcPr>
            <w:tcW w:w="1409" w:type="dxa"/>
          </w:tcPr>
          <w:p w:rsidR="00964580" w:rsidRPr="005A5CF9" w:rsidRDefault="00964580" w:rsidP="00F274C3">
            <w:pPr>
              <w:autoSpaceDE w:val="0"/>
              <w:autoSpaceDN w:val="0"/>
              <w:adjustRightInd w:val="0"/>
              <w:spacing w:line="360" w:lineRule="auto"/>
              <w:ind w:firstLine="0"/>
              <w:jc w:val="center"/>
              <w:cnfStyle w:val="000000000000" w:firstRow="0" w:lastRow="0" w:firstColumn="0" w:lastColumn="0" w:oddVBand="0" w:evenVBand="0" w:oddHBand="0" w:evenHBand="0" w:firstRowFirstColumn="0" w:firstRowLastColumn="0" w:lastRowFirstColumn="0" w:lastRowLastColumn="0"/>
              <w:rPr>
                <w:rFonts w:ascii="Calibri" w:hAnsi="Calibri"/>
                <w:lang w:val="en-US"/>
              </w:rPr>
            </w:pPr>
            <w:r w:rsidRPr="005A5CF9">
              <w:rPr>
                <w:rFonts w:ascii="Calibri" w:hAnsi="Calibri"/>
                <w:lang w:val="en-US"/>
              </w:rPr>
              <w:t>ABT</w:t>
            </w:r>
          </w:p>
        </w:tc>
        <w:tc>
          <w:tcPr>
            <w:tcW w:w="1409" w:type="dxa"/>
          </w:tcPr>
          <w:p w:rsidR="00964580" w:rsidRPr="005A5CF9" w:rsidRDefault="00964580" w:rsidP="00F274C3">
            <w:pPr>
              <w:autoSpaceDE w:val="0"/>
              <w:autoSpaceDN w:val="0"/>
              <w:adjustRightInd w:val="0"/>
              <w:spacing w:line="360" w:lineRule="auto"/>
              <w:ind w:firstLine="0"/>
              <w:jc w:val="center"/>
              <w:cnfStyle w:val="000000000000" w:firstRow="0" w:lastRow="0" w:firstColumn="0" w:lastColumn="0" w:oddVBand="0" w:evenVBand="0" w:oddHBand="0" w:evenHBand="0" w:firstRowFirstColumn="0" w:firstRowLastColumn="0" w:lastRowFirstColumn="0" w:lastRowLastColumn="0"/>
              <w:rPr>
                <w:rFonts w:ascii="Calibri" w:hAnsi="Calibri"/>
                <w:lang w:val="en-US"/>
              </w:rPr>
            </w:pPr>
          </w:p>
        </w:tc>
        <w:tc>
          <w:tcPr>
            <w:tcW w:w="1638" w:type="dxa"/>
          </w:tcPr>
          <w:p w:rsidR="00964580" w:rsidRPr="005A5CF9" w:rsidRDefault="00964580" w:rsidP="00F274C3">
            <w:pPr>
              <w:autoSpaceDE w:val="0"/>
              <w:autoSpaceDN w:val="0"/>
              <w:adjustRightInd w:val="0"/>
              <w:spacing w:line="360" w:lineRule="auto"/>
              <w:ind w:firstLine="0"/>
              <w:jc w:val="center"/>
              <w:cnfStyle w:val="000000000000" w:firstRow="0" w:lastRow="0" w:firstColumn="0" w:lastColumn="0" w:oddVBand="0" w:evenVBand="0" w:oddHBand="0" w:evenHBand="0" w:firstRowFirstColumn="0" w:firstRowLastColumn="0" w:lastRowFirstColumn="0" w:lastRowLastColumn="0"/>
              <w:rPr>
                <w:rFonts w:ascii="Calibri" w:hAnsi="Calibri"/>
                <w:lang w:val="en-US"/>
              </w:rPr>
            </w:pPr>
            <w:r w:rsidRPr="005A5CF9">
              <w:rPr>
                <w:rFonts w:ascii="Calibri" w:hAnsi="Calibri"/>
                <w:lang w:val="en-US"/>
              </w:rPr>
              <w:t>Inferior steepening/SRA</w:t>
            </w:r>
          </w:p>
        </w:tc>
        <w:tc>
          <w:tcPr>
            <w:tcW w:w="1411" w:type="dxa"/>
          </w:tcPr>
          <w:p w:rsidR="00964580" w:rsidRPr="005A5CF9" w:rsidRDefault="00964580" w:rsidP="00F274C3">
            <w:pPr>
              <w:autoSpaceDE w:val="0"/>
              <w:autoSpaceDN w:val="0"/>
              <w:adjustRightInd w:val="0"/>
              <w:spacing w:line="360" w:lineRule="auto"/>
              <w:ind w:firstLine="0"/>
              <w:jc w:val="center"/>
              <w:cnfStyle w:val="000000000000" w:firstRow="0" w:lastRow="0" w:firstColumn="0" w:lastColumn="0" w:oddVBand="0" w:evenVBand="0" w:oddHBand="0" w:evenHBand="0" w:firstRowFirstColumn="0" w:firstRowLastColumn="0" w:lastRowFirstColumn="0" w:lastRowLastColumn="0"/>
              <w:rPr>
                <w:rFonts w:ascii="Calibri" w:hAnsi="Calibri"/>
                <w:lang w:val="en-US"/>
              </w:rPr>
            </w:pPr>
            <w:r w:rsidRPr="005A5CF9">
              <w:rPr>
                <w:rFonts w:ascii="Calibri" w:hAnsi="Calibri"/>
                <w:lang w:val="en-US"/>
              </w:rPr>
              <w:t>FFKC</w:t>
            </w:r>
          </w:p>
        </w:tc>
      </w:tr>
      <w:tr w:rsidR="00964580" w:rsidRPr="008F6161" w:rsidTr="00F274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4" w:type="dxa"/>
          </w:tcPr>
          <w:p w:rsidR="00964580" w:rsidRPr="005A5CF9" w:rsidRDefault="00964580" w:rsidP="00F274C3">
            <w:pPr>
              <w:autoSpaceDE w:val="0"/>
              <w:autoSpaceDN w:val="0"/>
              <w:adjustRightInd w:val="0"/>
              <w:spacing w:line="360" w:lineRule="auto"/>
              <w:ind w:firstLine="0"/>
              <w:jc w:val="both"/>
              <w:rPr>
                <w:rFonts w:ascii="Calibri" w:hAnsi="Calibri"/>
                <w:lang w:val="en-US"/>
              </w:rPr>
            </w:pPr>
            <w:r w:rsidRPr="005A5CF9">
              <w:rPr>
                <w:rFonts w:ascii="Calibri" w:hAnsi="Calibri"/>
                <w:lang w:val="en-US"/>
              </w:rPr>
              <w:t>RSB thickness (</w:t>
            </w:r>
            <w:r w:rsidRPr="005A5CF9">
              <w:rPr>
                <w:rFonts w:ascii="Calibri" w:hAnsi="Calibri" w:cs="Times New Roman"/>
                <w:lang w:val="en-US"/>
              </w:rPr>
              <w:t>µ</w:t>
            </w:r>
            <w:r w:rsidRPr="005A5CF9">
              <w:rPr>
                <w:rFonts w:ascii="Calibri" w:hAnsi="Calibri"/>
                <w:lang w:val="en-US"/>
              </w:rPr>
              <w:t>m)</w:t>
            </w:r>
          </w:p>
        </w:tc>
        <w:tc>
          <w:tcPr>
            <w:tcW w:w="1419" w:type="dxa"/>
          </w:tcPr>
          <w:p w:rsidR="00964580" w:rsidRPr="005A5CF9" w:rsidRDefault="00964580" w:rsidP="00F274C3">
            <w:pPr>
              <w:autoSpaceDE w:val="0"/>
              <w:autoSpaceDN w:val="0"/>
              <w:adjustRightInd w:val="0"/>
              <w:spacing w:line="360" w:lineRule="auto"/>
              <w:ind w:firstLine="0"/>
              <w:jc w:val="center"/>
              <w:cnfStyle w:val="000000100000" w:firstRow="0" w:lastRow="0" w:firstColumn="0" w:lastColumn="0" w:oddVBand="0" w:evenVBand="0" w:oddHBand="1" w:evenHBand="0" w:firstRowFirstColumn="0" w:firstRowLastColumn="0" w:lastRowFirstColumn="0" w:lastRowLastColumn="0"/>
              <w:rPr>
                <w:rFonts w:ascii="Calibri" w:hAnsi="Calibri"/>
                <w:lang w:val="en-US"/>
              </w:rPr>
            </w:pPr>
            <w:r w:rsidRPr="005A5CF9">
              <w:rPr>
                <w:rFonts w:ascii="Calibri" w:hAnsi="Calibri"/>
                <w:lang w:val="en-US"/>
              </w:rPr>
              <w:t>&gt;300</w:t>
            </w:r>
          </w:p>
        </w:tc>
        <w:tc>
          <w:tcPr>
            <w:tcW w:w="1409" w:type="dxa"/>
          </w:tcPr>
          <w:p w:rsidR="00964580" w:rsidRPr="005A5CF9" w:rsidRDefault="00964580" w:rsidP="00F274C3">
            <w:pPr>
              <w:autoSpaceDE w:val="0"/>
              <w:autoSpaceDN w:val="0"/>
              <w:adjustRightInd w:val="0"/>
              <w:spacing w:line="360" w:lineRule="auto"/>
              <w:ind w:firstLine="0"/>
              <w:jc w:val="center"/>
              <w:cnfStyle w:val="000000100000" w:firstRow="0" w:lastRow="0" w:firstColumn="0" w:lastColumn="0" w:oddVBand="0" w:evenVBand="0" w:oddHBand="1" w:evenHBand="0" w:firstRowFirstColumn="0" w:firstRowLastColumn="0" w:lastRowFirstColumn="0" w:lastRowLastColumn="0"/>
              <w:rPr>
                <w:rFonts w:ascii="Calibri" w:hAnsi="Calibri"/>
                <w:lang w:val="en-US"/>
              </w:rPr>
            </w:pPr>
            <w:r w:rsidRPr="005A5CF9">
              <w:rPr>
                <w:rFonts w:ascii="Calibri" w:hAnsi="Calibri"/>
                <w:lang w:val="en-US"/>
              </w:rPr>
              <w:t>280-299</w:t>
            </w:r>
          </w:p>
        </w:tc>
        <w:tc>
          <w:tcPr>
            <w:tcW w:w="1409" w:type="dxa"/>
          </w:tcPr>
          <w:p w:rsidR="00964580" w:rsidRPr="005A5CF9" w:rsidRDefault="00964580" w:rsidP="00F274C3">
            <w:pPr>
              <w:autoSpaceDE w:val="0"/>
              <w:autoSpaceDN w:val="0"/>
              <w:adjustRightInd w:val="0"/>
              <w:spacing w:line="360" w:lineRule="auto"/>
              <w:ind w:firstLine="0"/>
              <w:jc w:val="center"/>
              <w:cnfStyle w:val="000000100000" w:firstRow="0" w:lastRow="0" w:firstColumn="0" w:lastColumn="0" w:oddVBand="0" w:evenVBand="0" w:oddHBand="1" w:evenHBand="0" w:firstRowFirstColumn="0" w:firstRowLastColumn="0" w:lastRowFirstColumn="0" w:lastRowLastColumn="0"/>
              <w:rPr>
                <w:rFonts w:ascii="Calibri" w:hAnsi="Calibri"/>
                <w:lang w:val="en-US"/>
              </w:rPr>
            </w:pPr>
            <w:r w:rsidRPr="005A5CF9">
              <w:rPr>
                <w:rFonts w:ascii="Calibri" w:hAnsi="Calibri"/>
                <w:lang w:val="en-US"/>
              </w:rPr>
              <w:t>260-279</w:t>
            </w:r>
          </w:p>
        </w:tc>
        <w:tc>
          <w:tcPr>
            <w:tcW w:w="1638" w:type="dxa"/>
          </w:tcPr>
          <w:p w:rsidR="00964580" w:rsidRPr="005A5CF9" w:rsidRDefault="00964580" w:rsidP="00F274C3">
            <w:pPr>
              <w:autoSpaceDE w:val="0"/>
              <w:autoSpaceDN w:val="0"/>
              <w:adjustRightInd w:val="0"/>
              <w:spacing w:line="360" w:lineRule="auto"/>
              <w:ind w:firstLine="0"/>
              <w:jc w:val="center"/>
              <w:cnfStyle w:val="000000100000" w:firstRow="0" w:lastRow="0" w:firstColumn="0" w:lastColumn="0" w:oddVBand="0" w:evenVBand="0" w:oddHBand="1" w:evenHBand="0" w:firstRowFirstColumn="0" w:firstRowLastColumn="0" w:lastRowFirstColumn="0" w:lastRowLastColumn="0"/>
              <w:rPr>
                <w:rFonts w:ascii="Calibri" w:hAnsi="Calibri"/>
                <w:lang w:val="en-US"/>
              </w:rPr>
            </w:pPr>
            <w:r w:rsidRPr="005A5CF9">
              <w:rPr>
                <w:rFonts w:ascii="Calibri" w:hAnsi="Calibri"/>
                <w:lang w:val="en-US"/>
              </w:rPr>
              <w:t>240-259</w:t>
            </w:r>
          </w:p>
        </w:tc>
        <w:tc>
          <w:tcPr>
            <w:tcW w:w="1411" w:type="dxa"/>
          </w:tcPr>
          <w:p w:rsidR="00964580" w:rsidRPr="005A5CF9" w:rsidRDefault="00964580" w:rsidP="00F274C3">
            <w:pPr>
              <w:autoSpaceDE w:val="0"/>
              <w:autoSpaceDN w:val="0"/>
              <w:adjustRightInd w:val="0"/>
              <w:spacing w:line="360" w:lineRule="auto"/>
              <w:ind w:firstLine="0"/>
              <w:jc w:val="center"/>
              <w:cnfStyle w:val="000000100000" w:firstRow="0" w:lastRow="0" w:firstColumn="0" w:lastColumn="0" w:oddVBand="0" w:evenVBand="0" w:oddHBand="1" w:evenHBand="0" w:firstRowFirstColumn="0" w:firstRowLastColumn="0" w:lastRowFirstColumn="0" w:lastRowLastColumn="0"/>
              <w:rPr>
                <w:rFonts w:ascii="Calibri" w:hAnsi="Calibri"/>
                <w:lang w:val="en-US"/>
              </w:rPr>
            </w:pPr>
            <w:r w:rsidRPr="005A5CF9">
              <w:rPr>
                <w:rFonts w:ascii="Calibri" w:hAnsi="Calibri"/>
                <w:lang w:val="en-US"/>
              </w:rPr>
              <w:t>&lt;240</w:t>
            </w:r>
          </w:p>
        </w:tc>
      </w:tr>
      <w:tr w:rsidR="00964580" w:rsidRPr="008F6161" w:rsidTr="00F274C3">
        <w:tc>
          <w:tcPr>
            <w:cnfStyle w:val="001000000000" w:firstRow="0" w:lastRow="0" w:firstColumn="1" w:lastColumn="0" w:oddVBand="0" w:evenVBand="0" w:oddHBand="0" w:evenHBand="0" w:firstRowFirstColumn="0" w:firstRowLastColumn="0" w:lastRowFirstColumn="0" w:lastRowLastColumn="0"/>
            <w:tcW w:w="1434" w:type="dxa"/>
          </w:tcPr>
          <w:p w:rsidR="00964580" w:rsidRPr="005A5CF9" w:rsidRDefault="00964580" w:rsidP="00F274C3">
            <w:pPr>
              <w:autoSpaceDE w:val="0"/>
              <w:autoSpaceDN w:val="0"/>
              <w:adjustRightInd w:val="0"/>
              <w:spacing w:line="360" w:lineRule="auto"/>
              <w:ind w:firstLine="0"/>
              <w:jc w:val="both"/>
              <w:rPr>
                <w:rFonts w:ascii="Calibri" w:hAnsi="Calibri"/>
                <w:lang w:val="en-US"/>
              </w:rPr>
            </w:pPr>
            <w:r w:rsidRPr="005A5CF9">
              <w:rPr>
                <w:rFonts w:ascii="Calibri" w:hAnsi="Calibri"/>
                <w:lang w:val="en-US"/>
              </w:rPr>
              <w:t>Age(years)</w:t>
            </w:r>
          </w:p>
        </w:tc>
        <w:tc>
          <w:tcPr>
            <w:tcW w:w="1419" w:type="dxa"/>
          </w:tcPr>
          <w:p w:rsidR="00964580" w:rsidRPr="005A5CF9" w:rsidRDefault="00964580" w:rsidP="00F274C3">
            <w:pPr>
              <w:autoSpaceDE w:val="0"/>
              <w:autoSpaceDN w:val="0"/>
              <w:adjustRightInd w:val="0"/>
              <w:spacing w:line="360" w:lineRule="auto"/>
              <w:ind w:firstLine="0"/>
              <w:jc w:val="center"/>
              <w:cnfStyle w:val="000000000000" w:firstRow="0" w:lastRow="0" w:firstColumn="0" w:lastColumn="0" w:oddVBand="0" w:evenVBand="0" w:oddHBand="0" w:evenHBand="0" w:firstRowFirstColumn="0" w:firstRowLastColumn="0" w:lastRowFirstColumn="0" w:lastRowLastColumn="0"/>
              <w:rPr>
                <w:rFonts w:ascii="Calibri" w:hAnsi="Calibri"/>
                <w:lang w:val="en-US"/>
              </w:rPr>
            </w:pPr>
            <w:r w:rsidRPr="005A5CF9">
              <w:rPr>
                <w:rFonts w:ascii="Calibri" w:hAnsi="Calibri"/>
                <w:lang w:val="en-US"/>
              </w:rPr>
              <w:t>&gt;30</w:t>
            </w:r>
          </w:p>
        </w:tc>
        <w:tc>
          <w:tcPr>
            <w:tcW w:w="1409" w:type="dxa"/>
          </w:tcPr>
          <w:p w:rsidR="00964580" w:rsidRPr="005A5CF9" w:rsidRDefault="00964580" w:rsidP="00F274C3">
            <w:pPr>
              <w:autoSpaceDE w:val="0"/>
              <w:autoSpaceDN w:val="0"/>
              <w:adjustRightInd w:val="0"/>
              <w:spacing w:line="360" w:lineRule="auto"/>
              <w:ind w:firstLine="0"/>
              <w:jc w:val="center"/>
              <w:cnfStyle w:val="000000000000" w:firstRow="0" w:lastRow="0" w:firstColumn="0" w:lastColumn="0" w:oddVBand="0" w:evenVBand="0" w:oddHBand="0" w:evenHBand="0" w:firstRowFirstColumn="0" w:firstRowLastColumn="0" w:lastRowFirstColumn="0" w:lastRowLastColumn="0"/>
              <w:rPr>
                <w:rFonts w:ascii="Calibri" w:hAnsi="Calibri"/>
                <w:lang w:val="en-US"/>
              </w:rPr>
            </w:pPr>
            <w:r w:rsidRPr="005A5CF9">
              <w:rPr>
                <w:rFonts w:ascii="Calibri" w:hAnsi="Calibri"/>
                <w:lang w:val="en-US"/>
              </w:rPr>
              <w:t>26-29</w:t>
            </w:r>
          </w:p>
        </w:tc>
        <w:tc>
          <w:tcPr>
            <w:tcW w:w="1409" w:type="dxa"/>
          </w:tcPr>
          <w:p w:rsidR="00964580" w:rsidRPr="005A5CF9" w:rsidRDefault="00964580" w:rsidP="00F274C3">
            <w:pPr>
              <w:autoSpaceDE w:val="0"/>
              <w:autoSpaceDN w:val="0"/>
              <w:adjustRightInd w:val="0"/>
              <w:spacing w:line="360" w:lineRule="auto"/>
              <w:ind w:firstLine="0"/>
              <w:jc w:val="center"/>
              <w:cnfStyle w:val="000000000000" w:firstRow="0" w:lastRow="0" w:firstColumn="0" w:lastColumn="0" w:oddVBand="0" w:evenVBand="0" w:oddHBand="0" w:evenHBand="0" w:firstRowFirstColumn="0" w:firstRowLastColumn="0" w:lastRowFirstColumn="0" w:lastRowLastColumn="0"/>
              <w:rPr>
                <w:rFonts w:ascii="Calibri" w:hAnsi="Calibri"/>
                <w:lang w:val="en-US"/>
              </w:rPr>
            </w:pPr>
            <w:r w:rsidRPr="005A5CF9">
              <w:rPr>
                <w:rFonts w:ascii="Calibri" w:hAnsi="Calibri"/>
                <w:lang w:val="en-US"/>
              </w:rPr>
              <w:t>22-25</w:t>
            </w:r>
          </w:p>
        </w:tc>
        <w:tc>
          <w:tcPr>
            <w:tcW w:w="1638" w:type="dxa"/>
          </w:tcPr>
          <w:p w:rsidR="00964580" w:rsidRPr="005A5CF9" w:rsidRDefault="00964580" w:rsidP="00F274C3">
            <w:pPr>
              <w:autoSpaceDE w:val="0"/>
              <w:autoSpaceDN w:val="0"/>
              <w:adjustRightInd w:val="0"/>
              <w:spacing w:line="360" w:lineRule="auto"/>
              <w:ind w:firstLine="0"/>
              <w:jc w:val="center"/>
              <w:cnfStyle w:val="000000000000" w:firstRow="0" w:lastRow="0" w:firstColumn="0" w:lastColumn="0" w:oddVBand="0" w:evenVBand="0" w:oddHBand="0" w:evenHBand="0" w:firstRowFirstColumn="0" w:firstRowLastColumn="0" w:lastRowFirstColumn="0" w:lastRowLastColumn="0"/>
              <w:rPr>
                <w:rFonts w:ascii="Calibri" w:hAnsi="Calibri"/>
                <w:lang w:val="en-US"/>
              </w:rPr>
            </w:pPr>
            <w:r w:rsidRPr="005A5CF9">
              <w:rPr>
                <w:rFonts w:ascii="Calibri" w:hAnsi="Calibri"/>
                <w:lang w:val="en-US"/>
              </w:rPr>
              <w:t>18-21</w:t>
            </w:r>
          </w:p>
        </w:tc>
        <w:tc>
          <w:tcPr>
            <w:tcW w:w="1411" w:type="dxa"/>
          </w:tcPr>
          <w:p w:rsidR="00964580" w:rsidRPr="005A5CF9" w:rsidRDefault="00964580" w:rsidP="00F274C3">
            <w:pPr>
              <w:autoSpaceDE w:val="0"/>
              <w:autoSpaceDN w:val="0"/>
              <w:adjustRightInd w:val="0"/>
              <w:spacing w:line="360" w:lineRule="auto"/>
              <w:ind w:firstLine="0"/>
              <w:jc w:val="center"/>
              <w:cnfStyle w:val="000000000000" w:firstRow="0" w:lastRow="0" w:firstColumn="0" w:lastColumn="0" w:oddVBand="0" w:evenVBand="0" w:oddHBand="0" w:evenHBand="0" w:firstRowFirstColumn="0" w:firstRowLastColumn="0" w:lastRowFirstColumn="0" w:lastRowLastColumn="0"/>
              <w:rPr>
                <w:rFonts w:ascii="Calibri" w:hAnsi="Calibri"/>
                <w:lang w:val="en-US"/>
              </w:rPr>
            </w:pPr>
          </w:p>
        </w:tc>
      </w:tr>
      <w:tr w:rsidR="00964580" w:rsidRPr="008F6161" w:rsidTr="00F274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4" w:type="dxa"/>
          </w:tcPr>
          <w:p w:rsidR="00964580" w:rsidRPr="005A5CF9" w:rsidRDefault="00964580" w:rsidP="00F274C3">
            <w:pPr>
              <w:autoSpaceDE w:val="0"/>
              <w:autoSpaceDN w:val="0"/>
              <w:adjustRightInd w:val="0"/>
              <w:spacing w:line="360" w:lineRule="auto"/>
              <w:ind w:firstLine="0"/>
              <w:jc w:val="both"/>
              <w:rPr>
                <w:rFonts w:ascii="Calibri" w:hAnsi="Calibri"/>
                <w:lang w:val="en-US"/>
              </w:rPr>
            </w:pPr>
            <w:r w:rsidRPr="005A5CF9">
              <w:rPr>
                <w:rFonts w:ascii="Calibri" w:hAnsi="Calibri"/>
                <w:lang w:val="en-US"/>
              </w:rPr>
              <w:t>CT (</w:t>
            </w:r>
            <w:r w:rsidRPr="005A5CF9">
              <w:rPr>
                <w:rFonts w:ascii="Calibri" w:hAnsi="Calibri" w:cs="Times New Roman"/>
                <w:lang w:val="en-US"/>
              </w:rPr>
              <w:t>µ</w:t>
            </w:r>
            <w:r w:rsidRPr="005A5CF9">
              <w:rPr>
                <w:rFonts w:ascii="Calibri" w:hAnsi="Calibri"/>
                <w:lang w:val="en-US"/>
              </w:rPr>
              <w:t>m)</w:t>
            </w:r>
          </w:p>
        </w:tc>
        <w:tc>
          <w:tcPr>
            <w:tcW w:w="1419" w:type="dxa"/>
          </w:tcPr>
          <w:p w:rsidR="00964580" w:rsidRPr="005A5CF9" w:rsidRDefault="00964580" w:rsidP="00F274C3">
            <w:pPr>
              <w:autoSpaceDE w:val="0"/>
              <w:autoSpaceDN w:val="0"/>
              <w:adjustRightInd w:val="0"/>
              <w:spacing w:line="360" w:lineRule="auto"/>
              <w:ind w:firstLine="0"/>
              <w:jc w:val="center"/>
              <w:cnfStyle w:val="000000100000" w:firstRow="0" w:lastRow="0" w:firstColumn="0" w:lastColumn="0" w:oddVBand="0" w:evenVBand="0" w:oddHBand="1" w:evenHBand="0" w:firstRowFirstColumn="0" w:firstRowLastColumn="0" w:lastRowFirstColumn="0" w:lastRowLastColumn="0"/>
              <w:rPr>
                <w:rFonts w:ascii="Calibri" w:hAnsi="Calibri"/>
                <w:lang w:val="en-US"/>
              </w:rPr>
            </w:pPr>
            <w:r w:rsidRPr="005A5CF9">
              <w:rPr>
                <w:rFonts w:ascii="Calibri" w:hAnsi="Calibri"/>
                <w:lang w:val="en-US"/>
              </w:rPr>
              <w:t>&gt;510</w:t>
            </w:r>
          </w:p>
        </w:tc>
        <w:tc>
          <w:tcPr>
            <w:tcW w:w="1409" w:type="dxa"/>
          </w:tcPr>
          <w:p w:rsidR="00964580" w:rsidRPr="005A5CF9" w:rsidRDefault="00964580" w:rsidP="00F274C3">
            <w:pPr>
              <w:autoSpaceDE w:val="0"/>
              <w:autoSpaceDN w:val="0"/>
              <w:adjustRightInd w:val="0"/>
              <w:spacing w:line="360" w:lineRule="auto"/>
              <w:ind w:firstLine="0"/>
              <w:jc w:val="center"/>
              <w:cnfStyle w:val="000000100000" w:firstRow="0" w:lastRow="0" w:firstColumn="0" w:lastColumn="0" w:oddVBand="0" w:evenVBand="0" w:oddHBand="1" w:evenHBand="0" w:firstRowFirstColumn="0" w:firstRowLastColumn="0" w:lastRowFirstColumn="0" w:lastRowLastColumn="0"/>
              <w:rPr>
                <w:rFonts w:ascii="Calibri" w:hAnsi="Calibri"/>
                <w:lang w:val="en-US"/>
              </w:rPr>
            </w:pPr>
          </w:p>
        </w:tc>
        <w:tc>
          <w:tcPr>
            <w:tcW w:w="1409" w:type="dxa"/>
          </w:tcPr>
          <w:p w:rsidR="00964580" w:rsidRPr="005A5CF9" w:rsidRDefault="00964580" w:rsidP="00F274C3">
            <w:pPr>
              <w:autoSpaceDE w:val="0"/>
              <w:autoSpaceDN w:val="0"/>
              <w:adjustRightInd w:val="0"/>
              <w:spacing w:line="360" w:lineRule="auto"/>
              <w:ind w:firstLine="0"/>
              <w:jc w:val="center"/>
              <w:cnfStyle w:val="000000100000" w:firstRow="0" w:lastRow="0" w:firstColumn="0" w:lastColumn="0" w:oddVBand="0" w:evenVBand="0" w:oddHBand="1" w:evenHBand="0" w:firstRowFirstColumn="0" w:firstRowLastColumn="0" w:lastRowFirstColumn="0" w:lastRowLastColumn="0"/>
              <w:rPr>
                <w:rFonts w:ascii="Calibri" w:hAnsi="Calibri"/>
                <w:lang w:val="en-US"/>
              </w:rPr>
            </w:pPr>
            <w:r w:rsidRPr="005A5CF9">
              <w:rPr>
                <w:rFonts w:ascii="Calibri" w:hAnsi="Calibri"/>
                <w:lang w:val="en-US"/>
              </w:rPr>
              <w:t>481-510</w:t>
            </w:r>
          </w:p>
        </w:tc>
        <w:tc>
          <w:tcPr>
            <w:tcW w:w="1638" w:type="dxa"/>
          </w:tcPr>
          <w:p w:rsidR="00964580" w:rsidRPr="005A5CF9" w:rsidRDefault="00964580" w:rsidP="00F274C3">
            <w:pPr>
              <w:autoSpaceDE w:val="0"/>
              <w:autoSpaceDN w:val="0"/>
              <w:adjustRightInd w:val="0"/>
              <w:spacing w:line="360" w:lineRule="auto"/>
              <w:ind w:firstLine="0"/>
              <w:jc w:val="center"/>
              <w:cnfStyle w:val="000000100000" w:firstRow="0" w:lastRow="0" w:firstColumn="0" w:lastColumn="0" w:oddVBand="0" w:evenVBand="0" w:oddHBand="1" w:evenHBand="0" w:firstRowFirstColumn="0" w:firstRowLastColumn="0" w:lastRowFirstColumn="0" w:lastRowLastColumn="0"/>
              <w:rPr>
                <w:rFonts w:ascii="Calibri" w:hAnsi="Calibri"/>
                <w:lang w:val="en-US"/>
              </w:rPr>
            </w:pPr>
            <w:r w:rsidRPr="005A5CF9">
              <w:rPr>
                <w:rFonts w:ascii="Calibri" w:hAnsi="Calibri"/>
                <w:lang w:val="en-US"/>
              </w:rPr>
              <w:t>451-480</w:t>
            </w:r>
          </w:p>
        </w:tc>
        <w:tc>
          <w:tcPr>
            <w:tcW w:w="1411" w:type="dxa"/>
          </w:tcPr>
          <w:p w:rsidR="00964580" w:rsidRPr="005A5CF9" w:rsidRDefault="00964580" w:rsidP="00F274C3">
            <w:pPr>
              <w:autoSpaceDE w:val="0"/>
              <w:autoSpaceDN w:val="0"/>
              <w:adjustRightInd w:val="0"/>
              <w:spacing w:line="360" w:lineRule="auto"/>
              <w:ind w:firstLine="0"/>
              <w:jc w:val="center"/>
              <w:cnfStyle w:val="000000100000" w:firstRow="0" w:lastRow="0" w:firstColumn="0" w:lastColumn="0" w:oddVBand="0" w:evenVBand="0" w:oddHBand="1" w:evenHBand="0" w:firstRowFirstColumn="0" w:firstRowLastColumn="0" w:lastRowFirstColumn="0" w:lastRowLastColumn="0"/>
              <w:rPr>
                <w:rFonts w:ascii="Calibri" w:hAnsi="Calibri"/>
                <w:lang w:val="en-US"/>
              </w:rPr>
            </w:pPr>
            <w:r w:rsidRPr="005A5CF9">
              <w:rPr>
                <w:rFonts w:ascii="Calibri" w:hAnsi="Calibri"/>
                <w:lang w:val="en-US"/>
              </w:rPr>
              <w:t>&lt;450</w:t>
            </w:r>
          </w:p>
        </w:tc>
      </w:tr>
      <w:tr w:rsidR="00964580" w:rsidRPr="008F6161" w:rsidTr="00F274C3">
        <w:tc>
          <w:tcPr>
            <w:cnfStyle w:val="001000000000" w:firstRow="0" w:lastRow="0" w:firstColumn="1" w:lastColumn="0" w:oddVBand="0" w:evenVBand="0" w:oddHBand="0" w:evenHBand="0" w:firstRowFirstColumn="0" w:firstRowLastColumn="0" w:lastRowFirstColumn="0" w:lastRowLastColumn="0"/>
            <w:tcW w:w="1434" w:type="dxa"/>
          </w:tcPr>
          <w:p w:rsidR="00964580" w:rsidRPr="005A5CF9" w:rsidRDefault="00964580" w:rsidP="00F274C3">
            <w:pPr>
              <w:autoSpaceDE w:val="0"/>
              <w:autoSpaceDN w:val="0"/>
              <w:adjustRightInd w:val="0"/>
              <w:spacing w:line="360" w:lineRule="auto"/>
              <w:ind w:firstLine="0"/>
              <w:jc w:val="both"/>
              <w:rPr>
                <w:rFonts w:ascii="Calibri" w:hAnsi="Calibri"/>
                <w:lang w:val="en-US"/>
              </w:rPr>
            </w:pPr>
            <w:r w:rsidRPr="005A5CF9">
              <w:rPr>
                <w:rFonts w:ascii="Calibri" w:hAnsi="Calibri"/>
                <w:lang w:val="en-US"/>
              </w:rPr>
              <w:t>MRSE (D)</w:t>
            </w:r>
          </w:p>
        </w:tc>
        <w:tc>
          <w:tcPr>
            <w:tcW w:w="1419" w:type="dxa"/>
          </w:tcPr>
          <w:p w:rsidR="00964580" w:rsidRPr="005A5CF9" w:rsidRDefault="00964580" w:rsidP="00F274C3">
            <w:pPr>
              <w:autoSpaceDE w:val="0"/>
              <w:autoSpaceDN w:val="0"/>
              <w:adjustRightInd w:val="0"/>
              <w:spacing w:line="360" w:lineRule="auto"/>
              <w:ind w:firstLine="0"/>
              <w:jc w:val="center"/>
              <w:cnfStyle w:val="000000000000" w:firstRow="0" w:lastRow="0" w:firstColumn="0" w:lastColumn="0" w:oddVBand="0" w:evenVBand="0" w:oddHBand="0" w:evenHBand="0" w:firstRowFirstColumn="0" w:firstRowLastColumn="0" w:lastRowFirstColumn="0" w:lastRowLastColumn="0"/>
              <w:rPr>
                <w:rFonts w:ascii="Calibri" w:hAnsi="Calibri"/>
                <w:lang w:val="en-US"/>
              </w:rPr>
            </w:pPr>
            <w:r w:rsidRPr="005A5CF9">
              <w:rPr>
                <w:rFonts w:ascii="Calibri" w:hAnsi="Calibri"/>
                <w:lang w:val="en-US"/>
              </w:rPr>
              <w:t>&lt; -8</w:t>
            </w:r>
          </w:p>
        </w:tc>
        <w:tc>
          <w:tcPr>
            <w:tcW w:w="1409" w:type="dxa"/>
          </w:tcPr>
          <w:p w:rsidR="00964580" w:rsidRPr="005A5CF9" w:rsidRDefault="00964580" w:rsidP="00F274C3">
            <w:pPr>
              <w:autoSpaceDE w:val="0"/>
              <w:autoSpaceDN w:val="0"/>
              <w:adjustRightInd w:val="0"/>
              <w:spacing w:line="360" w:lineRule="auto"/>
              <w:ind w:firstLine="0"/>
              <w:jc w:val="center"/>
              <w:cnfStyle w:val="000000000000" w:firstRow="0" w:lastRow="0" w:firstColumn="0" w:lastColumn="0" w:oddVBand="0" w:evenVBand="0" w:oddHBand="0" w:evenHBand="0" w:firstRowFirstColumn="0" w:firstRowLastColumn="0" w:lastRowFirstColumn="0" w:lastRowLastColumn="0"/>
              <w:rPr>
                <w:rFonts w:ascii="Calibri" w:hAnsi="Calibri"/>
                <w:lang w:val="en-US"/>
              </w:rPr>
            </w:pPr>
            <w:r w:rsidRPr="005A5CF9">
              <w:rPr>
                <w:rFonts w:ascii="Calibri" w:hAnsi="Calibri"/>
                <w:lang w:val="en-US"/>
              </w:rPr>
              <w:t>-8 to -10</w:t>
            </w:r>
          </w:p>
        </w:tc>
        <w:tc>
          <w:tcPr>
            <w:tcW w:w="1409" w:type="dxa"/>
          </w:tcPr>
          <w:p w:rsidR="00964580" w:rsidRPr="005A5CF9" w:rsidRDefault="00964580" w:rsidP="00F274C3">
            <w:pPr>
              <w:autoSpaceDE w:val="0"/>
              <w:autoSpaceDN w:val="0"/>
              <w:adjustRightInd w:val="0"/>
              <w:spacing w:line="360" w:lineRule="auto"/>
              <w:ind w:firstLine="0"/>
              <w:jc w:val="center"/>
              <w:cnfStyle w:val="000000000000" w:firstRow="0" w:lastRow="0" w:firstColumn="0" w:lastColumn="0" w:oddVBand="0" w:evenVBand="0" w:oddHBand="0" w:evenHBand="0" w:firstRowFirstColumn="0" w:firstRowLastColumn="0" w:lastRowFirstColumn="0" w:lastRowLastColumn="0"/>
              <w:rPr>
                <w:rFonts w:ascii="Calibri" w:hAnsi="Calibri"/>
                <w:lang w:val="en-US"/>
              </w:rPr>
            </w:pPr>
            <w:r w:rsidRPr="005A5CF9">
              <w:rPr>
                <w:rFonts w:ascii="Calibri" w:hAnsi="Calibri"/>
                <w:lang w:val="en-US"/>
              </w:rPr>
              <w:t>-10 to -12</w:t>
            </w:r>
          </w:p>
        </w:tc>
        <w:tc>
          <w:tcPr>
            <w:tcW w:w="1638" w:type="dxa"/>
          </w:tcPr>
          <w:p w:rsidR="00964580" w:rsidRPr="005A5CF9" w:rsidRDefault="00964580" w:rsidP="00F274C3">
            <w:pPr>
              <w:autoSpaceDE w:val="0"/>
              <w:autoSpaceDN w:val="0"/>
              <w:adjustRightInd w:val="0"/>
              <w:spacing w:line="360" w:lineRule="auto"/>
              <w:ind w:firstLine="0"/>
              <w:jc w:val="center"/>
              <w:cnfStyle w:val="000000000000" w:firstRow="0" w:lastRow="0" w:firstColumn="0" w:lastColumn="0" w:oddVBand="0" w:evenVBand="0" w:oddHBand="0" w:evenHBand="0" w:firstRowFirstColumn="0" w:firstRowLastColumn="0" w:lastRowFirstColumn="0" w:lastRowLastColumn="0"/>
              <w:rPr>
                <w:rFonts w:ascii="Calibri" w:hAnsi="Calibri"/>
                <w:lang w:val="en-US"/>
              </w:rPr>
            </w:pPr>
            <w:r w:rsidRPr="005A5CF9">
              <w:rPr>
                <w:rFonts w:ascii="Calibri" w:hAnsi="Calibri"/>
                <w:lang w:val="en-US"/>
              </w:rPr>
              <w:t>-12 to -14</w:t>
            </w:r>
          </w:p>
        </w:tc>
        <w:tc>
          <w:tcPr>
            <w:tcW w:w="1411" w:type="dxa"/>
          </w:tcPr>
          <w:p w:rsidR="00964580" w:rsidRPr="005A5CF9" w:rsidRDefault="00964580" w:rsidP="00F274C3">
            <w:pPr>
              <w:autoSpaceDE w:val="0"/>
              <w:autoSpaceDN w:val="0"/>
              <w:adjustRightInd w:val="0"/>
              <w:spacing w:line="360" w:lineRule="auto"/>
              <w:ind w:firstLine="0"/>
              <w:jc w:val="center"/>
              <w:cnfStyle w:val="000000000000" w:firstRow="0" w:lastRow="0" w:firstColumn="0" w:lastColumn="0" w:oddVBand="0" w:evenVBand="0" w:oddHBand="0" w:evenHBand="0" w:firstRowFirstColumn="0" w:firstRowLastColumn="0" w:lastRowFirstColumn="0" w:lastRowLastColumn="0"/>
              <w:rPr>
                <w:rFonts w:ascii="Calibri" w:hAnsi="Calibri"/>
                <w:lang w:val="en-US"/>
              </w:rPr>
            </w:pPr>
            <w:r w:rsidRPr="005A5CF9">
              <w:rPr>
                <w:rFonts w:ascii="Calibri" w:hAnsi="Calibri"/>
                <w:lang w:val="en-US"/>
              </w:rPr>
              <w:t>&gt; -14</w:t>
            </w:r>
          </w:p>
        </w:tc>
      </w:tr>
      <w:tr w:rsidR="00964580" w:rsidRPr="008F6161" w:rsidTr="00F274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0" w:type="dxa"/>
            <w:gridSpan w:val="6"/>
            <w:tcBorders>
              <w:bottom w:val="single" w:sz="4" w:space="0" w:color="4F81BD" w:themeColor="accent1"/>
            </w:tcBorders>
          </w:tcPr>
          <w:p w:rsidR="00964580" w:rsidRPr="005A5CF9" w:rsidRDefault="00964580" w:rsidP="00F274C3">
            <w:pPr>
              <w:autoSpaceDE w:val="0"/>
              <w:autoSpaceDN w:val="0"/>
              <w:adjustRightInd w:val="0"/>
              <w:spacing w:line="360" w:lineRule="auto"/>
              <w:ind w:firstLine="0"/>
              <w:rPr>
                <w:rFonts w:ascii="Calibri" w:hAnsi="Calibri"/>
                <w:b w:val="0"/>
                <w:lang w:val="en-US"/>
              </w:rPr>
            </w:pPr>
            <w:r w:rsidRPr="005A5CF9">
              <w:rPr>
                <w:rFonts w:ascii="Calibri" w:hAnsi="Calibri"/>
                <w:b w:val="0"/>
                <w:lang w:val="en-US"/>
              </w:rPr>
              <w:t xml:space="preserve">ABT: asymmetric bowtie; CT: preoperative corneal thickness; D: diopters; FFKC: </w:t>
            </w:r>
            <w:proofErr w:type="spellStart"/>
            <w:r w:rsidRPr="005A5CF9">
              <w:rPr>
                <w:rFonts w:ascii="Calibri" w:hAnsi="Calibri"/>
                <w:b w:val="0"/>
                <w:lang w:val="en-US"/>
              </w:rPr>
              <w:t>forme</w:t>
            </w:r>
            <w:proofErr w:type="spellEnd"/>
            <w:r w:rsidRPr="005A5CF9">
              <w:rPr>
                <w:rFonts w:ascii="Calibri" w:hAnsi="Calibri"/>
                <w:b w:val="0"/>
                <w:lang w:val="en-US"/>
              </w:rPr>
              <w:t xml:space="preserve"> </w:t>
            </w:r>
            <w:proofErr w:type="spellStart"/>
            <w:r w:rsidRPr="005A5CF9">
              <w:rPr>
                <w:rFonts w:ascii="Calibri" w:hAnsi="Calibri"/>
                <w:b w:val="0"/>
                <w:lang w:val="en-US"/>
              </w:rPr>
              <w:t>fruste</w:t>
            </w:r>
            <w:proofErr w:type="spellEnd"/>
            <w:r w:rsidRPr="005A5CF9">
              <w:rPr>
                <w:rFonts w:ascii="Calibri" w:hAnsi="Calibri"/>
                <w:b w:val="0"/>
                <w:lang w:val="en-US"/>
              </w:rPr>
              <w:t xml:space="preserve"> </w:t>
            </w:r>
            <w:proofErr w:type="spellStart"/>
            <w:r w:rsidRPr="005A5CF9">
              <w:rPr>
                <w:rFonts w:ascii="Calibri" w:hAnsi="Calibri"/>
                <w:b w:val="0"/>
                <w:lang w:val="en-US"/>
              </w:rPr>
              <w:t>keratoconus</w:t>
            </w:r>
            <w:proofErr w:type="spellEnd"/>
            <w:r w:rsidRPr="005A5CF9">
              <w:rPr>
                <w:rFonts w:ascii="Calibri" w:hAnsi="Calibri"/>
                <w:b w:val="0"/>
                <w:lang w:val="en-US"/>
              </w:rPr>
              <w:t>; MRSE:  preoperative spherical equivalent manifest refraction; RSB: residual stromal bed; SBT: symmetric bowtie; SRA: skewed radial axis</w:t>
            </w:r>
          </w:p>
        </w:tc>
      </w:tr>
      <w:tr w:rsidR="00964580" w:rsidRPr="008F6161" w:rsidTr="00F274C3">
        <w:tc>
          <w:tcPr>
            <w:cnfStyle w:val="001000000000" w:firstRow="0" w:lastRow="0" w:firstColumn="1" w:lastColumn="0" w:oddVBand="0" w:evenVBand="0" w:oddHBand="0" w:evenHBand="0" w:firstRowFirstColumn="0" w:firstRowLastColumn="0" w:lastRowFirstColumn="0" w:lastRowLastColumn="0"/>
            <w:tcW w:w="8720" w:type="dxa"/>
            <w:gridSpan w:val="6"/>
            <w:tcBorders>
              <w:top w:val="single" w:sz="4" w:space="0" w:color="4F81BD" w:themeColor="accent1"/>
              <w:left w:val="nil"/>
              <w:bottom w:val="nil"/>
              <w:right w:val="nil"/>
            </w:tcBorders>
          </w:tcPr>
          <w:p w:rsidR="00964580" w:rsidRPr="005A5CF9" w:rsidRDefault="00964580" w:rsidP="00F274C3">
            <w:pPr>
              <w:autoSpaceDE w:val="0"/>
              <w:autoSpaceDN w:val="0"/>
              <w:adjustRightInd w:val="0"/>
              <w:spacing w:line="360" w:lineRule="auto"/>
              <w:ind w:firstLine="0"/>
              <w:rPr>
                <w:rFonts w:ascii="Calibri" w:hAnsi="Calibri"/>
                <w:b w:val="0"/>
                <w:lang w:val="en-US"/>
              </w:rPr>
            </w:pPr>
            <w:r w:rsidRPr="005A5CF9">
              <w:rPr>
                <w:rFonts w:ascii="Calibri" w:hAnsi="Calibri"/>
                <w:b w:val="0"/>
                <w:lang w:val="en-US"/>
              </w:rPr>
              <w:t xml:space="preserve">Table 2. </w:t>
            </w:r>
            <w:proofErr w:type="spellStart"/>
            <w:r w:rsidRPr="005A5CF9">
              <w:rPr>
                <w:rFonts w:ascii="Calibri" w:hAnsi="Calibri"/>
                <w:b w:val="0"/>
                <w:lang w:val="en-US"/>
              </w:rPr>
              <w:t>Ectasia</w:t>
            </w:r>
            <w:proofErr w:type="spellEnd"/>
            <w:r w:rsidRPr="005A5CF9">
              <w:rPr>
                <w:rFonts w:ascii="Calibri" w:hAnsi="Calibri"/>
                <w:b w:val="0"/>
                <w:lang w:val="en-US"/>
              </w:rPr>
              <w:t xml:space="preserve"> Risk Factor Score System. </w:t>
            </w:r>
            <w:r w:rsidRPr="005A5CF9">
              <w:rPr>
                <w:rFonts w:ascii="Calibri" w:hAnsi="Calibri"/>
                <w:b w:val="0"/>
                <w:i/>
                <w:lang w:val="en-US"/>
              </w:rPr>
              <w:t>Adapted from Randleman et al</w:t>
            </w:r>
            <w:r w:rsidRPr="005A5CF9">
              <w:rPr>
                <w:rFonts w:ascii="Calibri" w:hAnsi="Calibri"/>
                <w:i/>
                <w:lang w:val="en-US"/>
              </w:rPr>
              <w:fldChar w:fldCharType="begin" w:fldLock="1"/>
            </w:r>
            <w:r>
              <w:rPr>
                <w:rFonts w:ascii="Calibri" w:hAnsi="Calibri"/>
                <w:b w:val="0"/>
                <w:i/>
                <w:lang w:val="en-US"/>
              </w:rPr>
              <w:instrText>ADDIN CSL_CITATION { "citationItems" : [ { "id" : "ITEM-1", "itemData" : { "DOI" : "10.1016/j.ophtha.2007.03.073", "ISSN" : "1549-4713", "PMID" : "17624434", "abstract" : "PURPOSE: To analyze the epidemiologic features of ectasia after excimer laser corneal refractive surgery, to identify risk factors for its development, and to devise a screening strategy to minimize its occurrence.\n\nDESIGN: Retrospective comparative and case-control study.\n\nPARTICIPANTS: All cases of ectasia after excimer laser corneal refractive surgery published in the English language with adequate information available through December 2005, unpublished cases seeking treatment at the authors' institution from 1998 through 2005, and a contemporaneous control group who underwent uneventful LASIK and experienced a normal postoperative course.\n\nMETHODS: Evaluation of preoperative characteristics, including patient age, gender, spherical equivalent refraction, pachymetry, and topographic patterns; perioperative characteristics, including type of surgery performed, flap thickness, ablation depth, and residual stromal bed (RSB) thickness; and postoperative characteristics including time to onset of ectasia.\n\nMAIN OUTCOME MEASURES: Development of postoperative corneal ectasia.\n\nRESULTS: There were 171 ectasia cases, including 158 published cases and 13 unpublished cases evaluated at the authors' institution. Ectasia occurred after LASIK in 164 cases (95.9%) and after photorefractive keratectomy (PRK) in 7 cases (4.1%). Compared with controls, more ectasia cases had abnormal preoperative topographies (35.7% vs. 0%; P&lt;1.0x10(-15)), were significantly younger (34.4 vs. 40.0 years; P&lt;1.0x10(-7)), were more myopic (-8.53 vs. -5.09 diopters; P&lt;1.0x10(-7)), had thinner corneas before surgery (521.0 vs. 546.5 microm; P&lt;1.0x10(-7)), and had less RSB thickness (256.3 vs. 317.3 microm; P&lt;1.0x10(-10)). Based on subgroup logistic regression analysis, abnormal topography was the most significant factor that discriminated cases from controls, followed by RSB thickness, age, and preoperative corneal thickness, in that order. A risk factor stratification scale was created, taking all recognized risk factors into account in a weighted fashion. This model had a specificity of 91% and a sensitivity of 96% in this series.\n\nCONCLUSIONS: A quantitative method can be used to identify eyes at risk for developing ectasia after LASIK that, if validated, represents a significant improvement over current screening strategies.", "author" : [ { "dropping-particle" : "", "family" : "Randleman", "given" : "J Bradley", "non-dropping-particle" : "", "parse-names" : false, "suffix" : "" }, { "dropping-particle" : "", "family" : "Woodward", "given" : "Maria", "non-dropping-particle" : "", "parse-names" : false, "suffix" : "" }, { "dropping-particle" : "", "family" : "Lynn", "given" : "Michael J", "non-dropping-particle" : "", "parse-names" : false, "suffix" : "" }, { "dropping-particle" : "", "family" : "Stulting", "given" : "R Doyle", "non-dropping-particle" : "", "parse-names" : false, "suffix" : "" } ], "container-title" : "Ophthalmology", "id" : "ITEM-1", "issue" : "1", "issued" : { "date-parts" : [ [ "2008", "1" ] ] }, "page" : "37-50", "title" : "Risk assessment for ectasia after corneal refractive surgery.", "type" : "article-journal", "volume" : "115" }, "uris" : [ "http://www.mendeley.com/documents/?uuid=c2f0d9e3-11a8-4bf8-9866-98b7cfd22eda" ] } ], "mendeley" : { "formattedCitation" : "(86)", "plainTextFormattedCitation" : "(86)", "previouslyFormattedCitation" : "&lt;sup&gt;86&lt;/sup&gt;" }, "properties" : { "noteIndex" : 0 }, "schema" : "https://github.com/citation-style-language/schema/raw/master/csl-citation.json" }</w:instrText>
            </w:r>
            <w:r w:rsidRPr="005A5CF9">
              <w:rPr>
                <w:rFonts w:ascii="Calibri" w:hAnsi="Calibri"/>
                <w:i/>
                <w:lang w:val="en-US"/>
              </w:rPr>
              <w:fldChar w:fldCharType="separate"/>
            </w:r>
            <w:r w:rsidRPr="002D5DF3">
              <w:rPr>
                <w:rFonts w:ascii="Calibri" w:hAnsi="Calibri"/>
                <w:b w:val="0"/>
                <w:noProof/>
                <w:lang w:val="en-US"/>
              </w:rPr>
              <w:t>(86)</w:t>
            </w:r>
            <w:r w:rsidRPr="005A5CF9">
              <w:rPr>
                <w:rFonts w:ascii="Calibri" w:hAnsi="Calibri"/>
                <w:i/>
                <w:lang w:val="en-US"/>
              </w:rPr>
              <w:fldChar w:fldCharType="end"/>
            </w:r>
          </w:p>
        </w:tc>
      </w:tr>
    </w:tbl>
    <w:p w:rsidR="001A22BB" w:rsidRDefault="001A22BB">
      <w:bookmarkStart w:id="0" w:name="_GoBack"/>
      <w:bookmarkEnd w:id="0"/>
    </w:p>
    <w:sectPr w:rsidR="001A22B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580"/>
    <w:rsid w:val="00186B8E"/>
    <w:rsid w:val="001A22BB"/>
    <w:rsid w:val="00964580"/>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580"/>
  </w:style>
  <w:style w:type="paragraph" w:styleId="Heading1">
    <w:name w:val="heading 1"/>
    <w:basedOn w:val="Normal"/>
    <w:next w:val="Normal"/>
    <w:link w:val="Heading1Char"/>
    <w:uiPriority w:val="9"/>
    <w:qFormat/>
    <w:rsid w:val="00186B8E"/>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Heading2">
    <w:name w:val="heading 2"/>
    <w:basedOn w:val="Normal"/>
    <w:next w:val="Normal"/>
    <w:link w:val="Heading2Char"/>
    <w:uiPriority w:val="9"/>
    <w:semiHidden/>
    <w:unhideWhenUsed/>
    <w:qFormat/>
    <w:rsid w:val="00186B8E"/>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Heading3">
    <w:name w:val="heading 3"/>
    <w:basedOn w:val="Normal"/>
    <w:next w:val="Normal"/>
    <w:link w:val="Heading3Char"/>
    <w:uiPriority w:val="9"/>
    <w:semiHidden/>
    <w:unhideWhenUsed/>
    <w:qFormat/>
    <w:rsid w:val="00186B8E"/>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iPriority w:val="9"/>
    <w:semiHidden/>
    <w:unhideWhenUsed/>
    <w:qFormat/>
    <w:rsid w:val="00186B8E"/>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semiHidden/>
    <w:unhideWhenUsed/>
    <w:qFormat/>
    <w:rsid w:val="00186B8E"/>
    <w:pPr>
      <w:spacing w:before="200" w:after="80"/>
      <w:ind w:firstLine="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186B8E"/>
    <w:pPr>
      <w:spacing w:before="280" w:after="100"/>
      <w:ind w:firstLine="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186B8E"/>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186B8E"/>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186B8E"/>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6B8E"/>
    <w:rPr>
      <w:rFonts w:asciiTheme="majorHAnsi" w:eastAsiaTheme="majorEastAsia" w:hAnsiTheme="majorHAnsi" w:cstheme="majorBidi"/>
      <w:b/>
      <w:bCs/>
      <w:color w:val="365F91" w:themeColor="accent1" w:themeShade="BF"/>
      <w:sz w:val="24"/>
      <w:szCs w:val="24"/>
    </w:rPr>
  </w:style>
  <w:style w:type="character" w:customStyle="1" w:styleId="Heading2Char">
    <w:name w:val="Heading 2 Char"/>
    <w:basedOn w:val="DefaultParagraphFont"/>
    <w:link w:val="Heading2"/>
    <w:uiPriority w:val="9"/>
    <w:semiHidden/>
    <w:rsid w:val="00186B8E"/>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semiHidden/>
    <w:rsid w:val="00186B8E"/>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semiHidden/>
    <w:rsid w:val="00186B8E"/>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186B8E"/>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186B8E"/>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186B8E"/>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186B8E"/>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186B8E"/>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semiHidden/>
    <w:unhideWhenUsed/>
    <w:qFormat/>
    <w:rsid w:val="00186B8E"/>
    <w:rPr>
      <w:b/>
      <w:bCs/>
      <w:sz w:val="18"/>
      <w:szCs w:val="18"/>
    </w:rPr>
  </w:style>
  <w:style w:type="paragraph" w:styleId="Title">
    <w:name w:val="Title"/>
    <w:basedOn w:val="Normal"/>
    <w:next w:val="Normal"/>
    <w:link w:val="TitleChar"/>
    <w:uiPriority w:val="10"/>
    <w:qFormat/>
    <w:rsid w:val="00186B8E"/>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186B8E"/>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186B8E"/>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186B8E"/>
    <w:rPr>
      <w:i/>
      <w:iCs/>
      <w:sz w:val="24"/>
      <w:szCs w:val="24"/>
    </w:rPr>
  </w:style>
  <w:style w:type="character" w:styleId="Strong">
    <w:name w:val="Strong"/>
    <w:basedOn w:val="DefaultParagraphFont"/>
    <w:uiPriority w:val="22"/>
    <w:qFormat/>
    <w:rsid w:val="00186B8E"/>
    <w:rPr>
      <w:b/>
      <w:bCs/>
      <w:spacing w:val="0"/>
    </w:rPr>
  </w:style>
  <w:style w:type="character" w:styleId="Emphasis">
    <w:name w:val="Emphasis"/>
    <w:uiPriority w:val="20"/>
    <w:qFormat/>
    <w:rsid w:val="00186B8E"/>
    <w:rPr>
      <w:b/>
      <w:bCs/>
      <w:i/>
      <w:iCs/>
      <w:color w:val="5A5A5A" w:themeColor="text1" w:themeTint="A5"/>
    </w:rPr>
  </w:style>
  <w:style w:type="paragraph" w:styleId="NoSpacing">
    <w:name w:val="No Spacing"/>
    <w:basedOn w:val="Normal"/>
    <w:link w:val="NoSpacingChar"/>
    <w:uiPriority w:val="1"/>
    <w:qFormat/>
    <w:rsid w:val="00186B8E"/>
    <w:pPr>
      <w:ind w:firstLine="0"/>
    </w:pPr>
  </w:style>
  <w:style w:type="character" w:customStyle="1" w:styleId="NoSpacingChar">
    <w:name w:val="No Spacing Char"/>
    <w:basedOn w:val="DefaultParagraphFont"/>
    <w:link w:val="NoSpacing"/>
    <w:uiPriority w:val="1"/>
    <w:rsid w:val="00186B8E"/>
  </w:style>
  <w:style w:type="paragraph" w:styleId="ListParagraph">
    <w:name w:val="List Paragraph"/>
    <w:basedOn w:val="Normal"/>
    <w:uiPriority w:val="34"/>
    <w:qFormat/>
    <w:rsid w:val="00186B8E"/>
    <w:pPr>
      <w:ind w:left="720"/>
      <w:contextualSpacing/>
    </w:pPr>
  </w:style>
  <w:style w:type="paragraph" w:styleId="Quote">
    <w:name w:val="Quote"/>
    <w:basedOn w:val="Normal"/>
    <w:next w:val="Normal"/>
    <w:link w:val="QuoteChar"/>
    <w:uiPriority w:val="29"/>
    <w:qFormat/>
    <w:rsid w:val="00186B8E"/>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186B8E"/>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186B8E"/>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186B8E"/>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186B8E"/>
    <w:rPr>
      <w:i/>
      <w:iCs/>
      <w:color w:val="5A5A5A" w:themeColor="text1" w:themeTint="A5"/>
    </w:rPr>
  </w:style>
  <w:style w:type="character" w:styleId="IntenseEmphasis">
    <w:name w:val="Intense Emphasis"/>
    <w:uiPriority w:val="21"/>
    <w:qFormat/>
    <w:rsid w:val="00186B8E"/>
    <w:rPr>
      <w:b/>
      <w:bCs/>
      <w:i/>
      <w:iCs/>
      <w:color w:val="4F81BD" w:themeColor="accent1"/>
      <w:sz w:val="22"/>
      <w:szCs w:val="22"/>
    </w:rPr>
  </w:style>
  <w:style w:type="character" w:styleId="SubtleReference">
    <w:name w:val="Subtle Reference"/>
    <w:uiPriority w:val="31"/>
    <w:qFormat/>
    <w:rsid w:val="00186B8E"/>
    <w:rPr>
      <w:color w:val="auto"/>
      <w:u w:val="single" w:color="9BBB59" w:themeColor="accent3"/>
    </w:rPr>
  </w:style>
  <w:style w:type="character" w:styleId="IntenseReference">
    <w:name w:val="Intense Reference"/>
    <w:basedOn w:val="DefaultParagraphFont"/>
    <w:uiPriority w:val="32"/>
    <w:qFormat/>
    <w:rsid w:val="00186B8E"/>
    <w:rPr>
      <w:b/>
      <w:bCs/>
      <w:color w:val="76923C" w:themeColor="accent3" w:themeShade="BF"/>
      <w:u w:val="single" w:color="9BBB59" w:themeColor="accent3"/>
    </w:rPr>
  </w:style>
  <w:style w:type="character" w:styleId="BookTitle">
    <w:name w:val="Book Title"/>
    <w:basedOn w:val="DefaultParagraphFont"/>
    <w:uiPriority w:val="33"/>
    <w:qFormat/>
    <w:rsid w:val="00186B8E"/>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186B8E"/>
    <w:pPr>
      <w:outlineLvl w:val="9"/>
    </w:pPr>
    <w:rPr>
      <w:lang w:bidi="en-US"/>
    </w:rPr>
  </w:style>
  <w:style w:type="table" w:styleId="LightList-Accent5">
    <w:name w:val="Light List Accent 5"/>
    <w:basedOn w:val="TableNormal"/>
    <w:uiPriority w:val="61"/>
    <w:rsid w:val="00964580"/>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580"/>
  </w:style>
  <w:style w:type="paragraph" w:styleId="Heading1">
    <w:name w:val="heading 1"/>
    <w:basedOn w:val="Normal"/>
    <w:next w:val="Normal"/>
    <w:link w:val="Heading1Char"/>
    <w:uiPriority w:val="9"/>
    <w:qFormat/>
    <w:rsid w:val="00186B8E"/>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Heading2">
    <w:name w:val="heading 2"/>
    <w:basedOn w:val="Normal"/>
    <w:next w:val="Normal"/>
    <w:link w:val="Heading2Char"/>
    <w:uiPriority w:val="9"/>
    <w:semiHidden/>
    <w:unhideWhenUsed/>
    <w:qFormat/>
    <w:rsid w:val="00186B8E"/>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Heading3">
    <w:name w:val="heading 3"/>
    <w:basedOn w:val="Normal"/>
    <w:next w:val="Normal"/>
    <w:link w:val="Heading3Char"/>
    <w:uiPriority w:val="9"/>
    <w:semiHidden/>
    <w:unhideWhenUsed/>
    <w:qFormat/>
    <w:rsid w:val="00186B8E"/>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iPriority w:val="9"/>
    <w:semiHidden/>
    <w:unhideWhenUsed/>
    <w:qFormat/>
    <w:rsid w:val="00186B8E"/>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semiHidden/>
    <w:unhideWhenUsed/>
    <w:qFormat/>
    <w:rsid w:val="00186B8E"/>
    <w:pPr>
      <w:spacing w:before="200" w:after="80"/>
      <w:ind w:firstLine="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186B8E"/>
    <w:pPr>
      <w:spacing w:before="280" w:after="100"/>
      <w:ind w:firstLine="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186B8E"/>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186B8E"/>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186B8E"/>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6B8E"/>
    <w:rPr>
      <w:rFonts w:asciiTheme="majorHAnsi" w:eastAsiaTheme="majorEastAsia" w:hAnsiTheme="majorHAnsi" w:cstheme="majorBidi"/>
      <w:b/>
      <w:bCs/>
      <w:color w:val="365F91" w:themeColor="accent1" w:themeShade="BF"/>
      <w:sz w:val="24"/>
      <w:szCs w:val="24"/>
    </w:rPr>
  </w:style>
  <w:style w:type="character" w:customStyle="1" w:styleId="Heading2Char">
    <w:name w:val="Heading 2 Char"/>
    <w:basedOn w:val="DefaultParagraphFont"/>
    <w:link w:val="Heading2"/>
    <w:uiPriority w:val="9"/>
    <w:semiHidden/>
    <w:rsid w:val="00186B8E"/>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semiHidden/>
    <w:rsid w:val="00186B8E"/>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semiHidden/>
    <w:rsid w:val="00186B8E"/>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186B8E"/>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186B8E"/>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186B8E"/>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186B8E"/>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186B8E"/>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semiHidden/>
    <w:unhideWhenUsed/>
    <w:qFormat/>
    <w:rsid w:val="00186B8E"/>
    <w:rPr>
      <w:b/>
      <w:bCs/>
      <w:sz w:val="18"/>
      <w:szCs w:val="18"/>
    </w:rPr>
  </w:style>
  <w:style w:type="paragraph" w:styleId="Title">
    <w:name w:val="Title"/>
    <w:basedOn w:val="Normal"/>
    <w:next w:val="Normal"/>
    <w:link w:val="TitleChar"/>
    <w:uiPriority w:val="10"/>
    <w:qFormat/>
    <w:rsid w:val="00186B8E"/>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186B8E"/>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186B8E"/>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186B8E"/>
    <w:rPr>
      <w:i/>
      <w:iCs/>
      <w:sz w:val="24"/>
      <w:szCs w:val="24"/>
    </w:rPr>
  </w:style>
  <w:style w:type="character" w:styleId="Strong">
    <w:name w:val="Strong"/>
    <w:basedOn w:val="DefaultParagraphFont"/>
    <w:uiPriority w:val="22"/>
    <w:qFormat/>
    <w:rsid w:val="00186B8E"/>
    <w:rPr>
      <w:b/>
      <w:bCs/>
      <w:spacing w:val="0"/>
    </w:rPr>
  </w:style>
  <w:style w:type="character" w:styleId="Emphasis">
    <w:name w:val="Emphasis"/>
    <w:uiPriority w:val="20"/>
    <w:qFormat/>
    <w:rsid w:val="00186B8E"/>
    <w:rPr>
      <w:b/>
      <w:bCs/>
      <w:i/>
      <w:iCs/>
      <w:color w:val="5A5A5A" w:themeColor="text1" w:themeTint="A5"/>
    </w:rPr>
  </w:style>
  <w:style w:type="paragraph" w:styleId="NoSpacing">
    <w:name w:val="No Spacing"/>
    <w:basedOn w:val="Normal"/>
    <w:link w:val="NoSpacingChar"/>
    <w:uiPriority w:val="1"/>
    <w:qFormat/>
    <w:rsid w:val="00186B8E"/>
    <w:pPr>
      <w:ind w:firstLine="0"/>
    </w:pPr>
  </w:style>
  <w:style w:type="character" w:customStyle="1" w:styleId="NoSpacingChar">
    <w:name w:val="No Spacing Char"/>
    <w:basedOn w:val="DefaultParagraphFont"/>
    <w:link w:val="NoSpacing"/>
    <w:uiPriority w:val="1"/>
    <w:rsid w:val="00186B8E"/>
  </w:style>
  <w:style w:type="paragraph" w:styleId="ListParagraph">
    <w:name w:val="List Paragraph"/>
    <w:basedOn w:val="Normal"/>
    <w:uiPriority w:val="34"/>
    <w:qFormat/>
    <w:rsid w:val="00186B8E"/>
    <w:pPr>
      <w:ind w:left="720"/>
      <w:contextualSpacing/>
    </w:pPr>
  </w:style>
  <w:style w:type="paragraph" w:styleId="Quote">
    <w:name w:val="Quote"/>
    <w:basedOn w:val="Normal"/>
    <w:next w:val="Normal"/>
    <w:link w:val="QuoteChar"/>
    <w:uiPriority w:val="29"/>
    <w:qFormat/>
    <w:rsid w:val="00186B8E"/>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186B8E"/>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186B8E"/>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186B8E"/>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186B8E"/>
    <w:rPr>
      <w:i/>
      <w:iCs/>
      <w:color w:val="5A5A5A" w:themeColor="text1" w:themeTint="A5"/>
    </w:rPr>
  </w:style>
  <w:style w:type="character" w:styleId="IntenseEmphasis">
    <w:name w:val="Intense Emphasis"/>
    <w:uiPriority w:val="21"/>
    <w:qFormat/>
    <w:rsid w:val="00186B8E"/>
    <w:rPr>
      <w:b/>
      <w:bCs/>
      <w:i/>
      <w:iCs/>
      <w:color w:val="4F81BD" w:themeColor="accent1"/>
      <w:sz w:val="22"/>
      <w:szCs w:val="22"/>
    </w:rPr>
  </w:style>
  <w:style w:type="character" w:styleId="SubtleReference">
    <w:name w:val="Subtle Reference"/>
    <w:uiPriority w:val="31"/>
    <w:qFormat/>
    <w:rsid w:val="00186B8E"/>
    <w:rPr>
      <w:color w:val="auto"/>
      <w:u w:val="single" w:color="9BBB59" w:themeColor="accent3"/>
    </w:rPr>
  </w:style>
  <w:style w:type="character" w:styleId="IntenseReference">
    <w:name w:val="Intense Reference"/>
    <w:basedOn w:val="DefaultParagraphFont"/>
    <w:uiPriority w:val="32"/>
    <w:qFormat/>
    <w:rsid w:val="00186B8E"/>
    <w:rPr>
      <w:b/>
      <w:bCs/>
      <w:color w:val="76923C" w:themeColor="accent3" w:themeShade="BF"/>
      <w:u w:val="single" w:color="9BBB59" w:themeColor="accent3"/>
    </w:rPr>
  </w:style>
  <w:style w:type="character" w:styleId="BookTitle">
    <w:name w:val="Book Title"/>
    <w:basedOn w:val="DefaultParagraphFont"/>
    <w:uiPriority w:val="33"/>
    <w:qFormat/>
    <w:rsid w:val="00186B8E"/>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186B8E"/>
    <w:pPr>
      <w:outlineLvl w:val="9"/>
    </w:pPr>
    <w:rPr>
      <w:lang w:bidi="en-US"/>
    </w:rPr>
  </w:style>
  <w:style w:type="table" w:styleId="LightList-Accent5">
    <w:name w:val="Light List Accent 5"/>
    <w:basedOn w:val="TableNormal"/>
    <w:uiPriority w:val="61"/>
    <w:rsid w:val="00964580"/>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605</Words>
  <Characters>3703</Characters>
  <Application>Microsoft Office Word</Application>
  <DocSecurity>0</DocSecurity>
  <Lines>64</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Joao</dc:creator>
  <cp:lastModifiedBy>Joao</cp:lastModifiedBy>
  <cp:revision>1</cp:revision>
  <dcterms:created xsi:type="dcterms:W3CDTF">2015-05-10T21:41:00Z</dcterms:created>
  <dcterms:modified xsi:type="dcterms:W3CDTF">2015-05-10T21:42:00Z</dcterms:modified>
</cp:coreProperties>
</file>