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FDD" w:rsidRDefault="00A15FDD" w:rsidP="00A15FDD">
      <w:pPr>
        <w:spacing w:after="0" w:line="360" w:lineRule="auto"/>
        <w:ind w:right="4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Tabela 1 - </w:t>
      </w:r>
      <w:r>
        <w:rPr>
          <w:rFonts w:ascii="Arial" w:eastAsia="Times New Roman" w:hAnsi="Arial" w:cs="Arial"/>
          <w:color w:val="000000"/>
          <w:lang w:val="pt-PT"/>
        </w:rPr>
        <w:t xml:space="preserve">Influência do </w:t>
      </w:r>
      <w:r>
        <w:rPr>
          <w:rFonts w:ascii="Arial" w:hAnsi="Arial" w:cs="Arial"/>
          <w:lang w:val="pt-PT"/>
        </w:rPr>
        <w:t>ângulo do desvio da ET na magnitude do DVD, no Grupo toxina ≤24 meses</w:t>
      </w:r>
      <w:r>
        <w:rPr>
          <w:rFonts w:ascii="Arial" w:hAnsi="Arial" w:cs="Arial"/>
          <w:lang w:val="pt-PT"/>
        </w:rPr>
        <w:tab/>
      </w:r>
    </w:p>
    <w:tbl>
      <w:tblPr>
        <w:tblStyle w:val="Tabelacomgrelha"/>
        <w:tblW w:w="4897" w:type="dxa"/>
        <w:tblInd w:w="108" w:type="dxa"/>
        <w:tblLook w:val="04A0"/>
      </w:tblPr>
      <w:tblGrid>
        <w:gridCol w:w="2047"/>
        <w:gridCol w:w="949"/>
        <w:gridCol w:w="952"/>
        <w:gridCol w:w="949"/>
      </w:tblGrid>
      <w:tr w:rsidR="00A15FDD" w:rsidRPr="00A15FDD" w:rsidTr="00A15FDD">
        <w:trPr>
          <w:trHeight w:val="372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FDD" w:rsidRDefault="00A15FDD">
            <w:pPr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Grupo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toxina</w:t>
            </w:r>
            <w:proofErr w:type="spellEnd"/>
          </w:p>
          <w:p w:rsidR="00A15FDD" w:rsidRDefault="00A15FDD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lang w:val="pt-PT"/>
              </w:rPr>
              <w:t xml:space="preserve">≤24 </w:t>
            </w:r>
            <w:proofErr w:type="gramStart"/>
            <w:r>
              <w:rPr>
                <w:rFonts w:ascii="Arial" w:hAnsi="Arial" w:cs="Arial"/>
                <w:b/>
                <w:lang w:val="pt-PT"/>
              </w:rPr>
              <w:t>meses</w:t>
            </w:r>
            <w:proofErr w:type="gramEnd"/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DD" w:rsidRDefault="00A15FDD">
            <w:pPr>
              <w:jc w:val="center"/>
              <w:rPr>
                <w:rFonts w:ascii="Arial" w:eastAsia="Times New Roman" w:hAnsi="Arial" w:cs="Arial"/>
                <w:color w:val="000000"/>
                <w:lang w:val="pt-PT"/>
              </w:rPr>
            </w:pPr>
            <w:r>
              <w:rPr>
                <w:rFonts w:ascii="Arial" w:eastAsia="Times New Roman" w:hAnsi="Arial" w:cs="Arial"/>
                <w:color w:val="000000"/>
                <w:lang w:val="pt-PT"/>
              </w:rPr>
              <w:t>Ângulo do desvio da ET (DP)</w:t>
            </w:r>
          </w:p>
        </w:tc>
      </w:tr>
      <w:tr w:rsidR="00A15FDD" w:rsidTr="00A15FDD">
        <w:trPr>
          <w:trHeight w:val="403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DD" w:rsidRPr="00A15FDD" w:rsidRDefault="00A15FDD">
            <w:pPr>
              <w:rPr>
                <w:rFonts w:ascii="Arial" w:eastAsia="Times New Roman" w:hAnsi="Arial" w:cs="Arial"/>
                <w:b/>
                <w:color w:val="000000"/>
                <w:lang w:val="pt-PT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DD" w:rsidRDefault="00A15FD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&lt;30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DD" w:rsidRDefault="00A15FD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30-40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DD" w:rsidRDefault="00A15FD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&gt;40</w:t>
            </w:r>
          </w:p>
        </w:tc>
      </w:tr>
      <w:tr w:rsidR="00A15FDD" w:rsidTr="00A15FDD">
        <w:trPr>
          <w:trHeight w:val="393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DD" w:rsidRDefault="00A15FD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População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, n (%)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DD" w:rsidRDefault="00A15FD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 (16)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DD" w:rsidRDefault="00A15FD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21 (42)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DD" w:rsidRDefault="00A15FD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21 (42)</w:t>
            </w:r>
          </w:p>
        </w:tc>
      </w:tr>
      <w:tr w:rsidR="00A15FDD" w:rsidTr="00A15FDD">
        <w:trPr>
          <w:trHeight w:val="393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DD" w:rsidRDefault="00A15FDD">
            <w:pPr>
              <w:jc w:val="center"/>
              <w:rPr>
                <w:rFonts w:ascii="Arial" w:eastAsia="Times New Roman" w:hAnsi="Arial" w:cs="Arial"/>
                <w:color w:val="000000"/>
                <w:lang w:val="pt-PT"/>
              </w:rPr>
            </w:pPr>
            <w:r>
              <w:rPr>
                <w:rFonts w:ascii="Arial" w:eastAsia="Times New Roman" w:hAnsi="Arial" w:cs="Arial"/>
                <w:color w:val="000000"/>
                <w:lang w:val="pt-PT"/>
              </w:rPr>
              <w:t xml:space="preserve">Magnitude do DVD, média (DP) ±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val="pt-PT"/>
              </w:rPr>
              <w:t>desvio</w:t>
            </w:r>
            <w:proofErr w:type="gramEnd"/>
            <w:r>
              <w:rPr>
                <w:rFonts w:ascii="Arial" w:eastAsia="Times New Roman" w:hAnsi="Arial" w:cs="Arial"/>
                <w:color w:val="000000"/>
                <w:lang w:val="pt-PT"/>
              </w:rPr>
              <w:t xml:space="preserve"> padrão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DD" w:rsidRDefault="00A15FD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1.1±2.2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DD" w:rsidRDefault="00A15FD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2.7±2.2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DD" w:rsidRDefault="00A15FD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4.8±1.3</w:t>
            </w:r>
          </w:p>
        </w:tc>
      </w:tr>
    </w:tbl>
    <w:p w:rsidR="00A15FDD" w:rsidRDefault="00A15FDD" w:rsidP="00A15FDD">
      <w:pPr>
        <w:spacing w:after="0" w:line="360" w:lineRule="auto"/>
        <w:ind w:right="4"/>
        <w:jc w:val="both"/>
        <w:rPr>
          <w:rFonts w:ascii="Arial" w:hAnsi="Arial" w:cs="Arial"/>
          <w:lang w:val="pt-PT"/>
        </w:rPr>
      </w:pPr>
    </w:p>
    <w:p w:rsidR="0097080D" w:rsidRDefault="0097080D" w:rsidP="00A15FDD">
      <w:pPr>
        <w:spacing w:after="0" w:line="360" w:lineRule="auto"/>
        <w:ind w:right="4"/>
        <w:jc w:val="both"/>
        <w:rPr>
          <w:rFonts w:ascii="Arial" w:hAnsi="Arial" w:cs="Arial"/>
          <w:lang w:val="pt-PT"/>
        </w:rPr>
      </w:pPr>
    </w:p>
    <w:p w:rsidR="00B51CFD" w:rsidRDefault="00B51CFD" w:rsidP="00A15FDD">
      <w:pPr>
        <w:spacing w:after="0" w:line="360" w:lineRule="auto"/>
        <w:ind w:right="4"/>
        <w:jc w:val="both"/>
        <w:rPr>
          <w:rFonts w:ascii="Arial" w:hAnsi="Arial" w:cs="Arial"/>
          <w:lang w:val="pt-PT"/>
        </w:rPr>
      </w:pPr>
    </w:p>
    <w:p w:rsidR="00A15FDD" w:rsidRDefault="00A15FDD" w:rsidP="00A15FDD">
      <w:pPr>
        <w:spacing w:after="0" w:line="360" w:lineRule="auto"/>
        <w:ind w:right="4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Tabela 2 - </w:t>
      </w:r>
      <w:r>
        <w:rPr>
          <w:rFonts w:ascii="Arial" w:eastAsia="Times New Roman" w:hAnsi="Arial" w:cs="Arial"/>
          <w:color w:val="000000"/>
          <w:lang w:val="pt-PT"/>
        </w:rPr>
        <w:t xml:space="preserve">Influência do </w:t>
      </w:r>
      <w:r>
        <w:rPr>
          <w:rFonts w:ascii="Arial" w:hAnsi="Arial" w:cs="Arial"/>
          <w:lang w:val="pt-PT"/>
        </w:rPr>
        <w:t xml:space="preserve">ângulo do desvio da ET na magnitude do DVD, no Grupo </w:t>
      </w:r>
      <w:proofErr w:type="gramStart"/>
      <w:r>
        <w:rPr>
          <w:rFonts w:ascii="Arial" w:hAnsi="Arial" w:cs="Arial"/>
          <w:lang w:val="pt-PT"/>
        </w:rPr>
        <w:t>toxina &gt;24</w:t>
      </w:r>
      <w:proofErr w:type="gramEnd"/>
      <w:r>
        <w:rPr>
          <w:rFonts w:ascii="Arial" w:hAnsi="Arial" w:cs="Arial"/>
          <w:lang w:val="pt-PT"/>
        </w:rPr>
        <w:t xml:space="preserve"> meses</w:t>
      </w:r>
      <w:r>
        <w:rPr>
          <w:rFonts w:ascii="Arial" w:hAnsi="Arial" w:cs="Arial"/>
          <w:lang w:val="pt-PT"/>
        </w:rPr>
        <w:tab/>
      </w:r>
    </w:p>
    <w:tbl>
      <w:tblPr>
        <w:tblStyle w:val="Tabelacomgrelha"/>
        <w:tblW w:w="4897" w:type="dxa"/>
        <w:tblInd w:w="108" w:type="dxa"/>
        <w:tblLook w:val="04A0"/>
      </w:tblPr>
      <w:tblGrid>
        <w:gridCol w:w="2050"/>
        <w:gridCol w:w="949"/>
        <w:gridCol w:w="949"/>
        <w:gridCol w:w="949"/>
      </w:tblGrid>
      <w:tr w:rsidR="00A15FDD" w:rsidRPr="00A15FDD" w:rsidTr="00A15FDD">
        <w:trPr>
          <w:trHeight w:val="445"/>
        </w:trPr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FDD" w:rsidRDefault="00A15FDD">
            <w:pPr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Grupo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toxina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</w:p>
          <w:p w:rsidR="00A15FDD" w:rsidRDefault="00A15FDD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lang w:val="pt-PT"/>
              </w:rPr>
              <w:t xml:space="preserve">&gt;24 </w:t>
            </w:r>
            <w:proofErr w:type="gramStart"/>
            <w:r>
              <w:rPr>
                <w:rFonts w:ascii="Arial" w:hAnsi="Arial" w:cs="Arial"/>
                <w:b/>
                <w:lang w:val="pt-PT"/>
              </w:rPr>
              <w:t>meses</w:t>
            </w:r>
            <w:proofErr w:type="gramEnd"/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DD" w:rsidRDefault="00A15FDD">
            <w:pPr>
              <w:jc w:val="center"/>
              <w:rPr>
                <w:rFonts w:ascii="Arial" w:eastAsia="Times New Roman" w:hAnsi="Arial" w:cs="Arial"/>
                <w:color w:val="000000"/>
                <w:lang w:val="pt-PT"/>
              </w:rPr>
            </w:pPr>
            <w:r>
              <w:rPr>
                <w:rFonts w:ascii="Arial" w:eastAsia="Times New Roman" w:hAnsi="Arial" w:cs="Arial"/>
                <w:color w:val="000000"/>
                <w:lang w:val="pt-PT"/>
              </w:rPr>
              <w:t>Ângulo do desvio da ET (DP)</w:t>
            </w:r>
          </w:p>
        </w:tc>
      </w:tr>
      <w:tr w:rsidR="00A15FDD" w:rsidTr="00A15FDD">
        <w:trPr>
          <w:trHeight w:val="445"/>
        </w:trPr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DD" w:rsidRPr="00A15FDD" w:rsidRDefault="00A15FDD">
            <w:pPr>
              <w:rPr>
                <w:rFonts w:ascii="Arial" w:eastAsia="Times New Roman" w:hAnsi="Arial" w:cs="Arial"/>
                <w:b/>
                <w:color w:val="000000"/>
                <w:lang w:val="pt-PT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DD" w:rsidRDefault="00A15FD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&lt;30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DD" w:rsidRDefault="00A15FD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30-40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DD" w:rsidRDefault="00A15FD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&gt;40</w:t>
            </w:r>
          </w:p>
        </w:tc>
      </w:tr>
      <w:tr w:rsidR="00A15FDD" w:rsidTr="00A15FDD">
        <w:trPr>
          <w:trHeight w:val="393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DD" w:rsidRDefault="00A15FD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População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, n (%)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DD" w:rsidRDefault="00A15FD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24 (48)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DD" w:rsidRDefault="00A15FD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13 (26)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DD" w:rsidRDefault="00A15FD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13 (26)</w:t>
            </w:r>
          </w:p>
        </w:tc>
      </w:tr>
      <w:tr w:rsidR="00A15FDD" w:rsidTr="00A15FDD">
        <w:trPr>
          <w:trHeight w:val="393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DD" w:rsidRDefault="00A15FDD">
            <w:pPr>
              <w:jc w:val="center"/>
              <w:rPr>
                <w:rFonts w:ascii="Arial" w:eastAsia="Times New Roman" w:hAnsi="Arial" w:cs="Arial"/>
                <w:color w:val="000000"/>
                <w:lang w:val="pt-PT"/>
              </w:rPr>
            </w:pPr>
            <w:r>
              <w:rPr>
                <w:rFonts w:ascii="Arial" w:eastAsia="Times New Roman" w:hAnsi="Arial" w:cs="Arial"/>
                <w:color w:val="000000"/>
                <w:lang w:val="pt-PT"/>
              </w:rPr>
              <w:t xml:space="preserve">Magnitude do DVD, </w:t>
            </w:r>
          </w:p>
          <w:p w:rsidR="00A15FDD" w:rsidRDefault="00A15FDD">
            <w:pPr>
              <w:jc w:val="center"/>
              <w:rPr>
                <w:rFonts w:ascii="Arial" w:eastAsia="Times New Roman" w:hAnsi="Arial" w:cs="Arial"/>
                <w:color w:val="000000"/>
                <w:lang w:val="pt-PT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val="pt-PT"/>
              </w:rPr>
              <w:t>média</w:t>
            </w:r>
            <w:proofErr w:type="gramEnd"/>
            <w:r>
              <w:rPr>
                <w:rFonts w:ascii="Arial" w:eastAsia="Times New Roman" w:hAnsi="Arial" w:cs="Arial"/>
                <w:color w:val="000000"/>
                <w:lang w:val="pt-PT"/>
              </w:rPr>
              <w:t xml:space="preserve"> (DP) ± desvio padrão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DD" w:rsidRDefault="00A15FD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4.9±2.1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DD" w:rsidRDefault="00A15FD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8.4±2.7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DD" w:rsidRDefault="00A15FD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10±2.1</w:t>
            </w:r>
          </w:p>
        </w:tc>
      </w:tr>
    </w:tbl>
    <w:p w:rsidR="00A15FDD" w:rsidRDefault="00A15FDD" w:rsidP="00A15FDD">
      <w:pPr>
        <w:spacing w:after="0" w:line="360" w:lineRule="auto"/>
        <w:ind w:right="4"/>
        <w:jc w:val="both"/>
        <w:rPr>
          <w:rFonts w:ascii="Arial" w:hAnsi="Arial" w:cs="Arial"/>
          <w:lang w:val="pt-PT"/>
        </w:rPr>
      </w:pPr>
    </w:p>
    <w:p w:rsidR="00B51CFD" w:rsidRDefault="00B51CFD" w:rsidP="0097080D">
      <w:pPr>
        <w:spacing w:after="0" w:line="360" w:lineRule="auto"/>
        <w:ind w:right="4"/>
        <w:jc w:val="both"/>
        <w:rPr>
          <w:rFonts w:ascii="Arial" w:hAnsi="Arial" w:cs="Arial"/>
          <w:lang w:val="pt-PT"/>
        </w:rPr>
      </w:pPr>
    </w:p>
    <w:p w:rsidR="00B51CFD" w:rsidRDefault="00B51CFD" w:rsidP="0097080D">
      <w:pPr>
        <w:spacing w:after="0" w:line="360" w:lineRule="auto"/>
        <w:ind w:right="4"/>
        <w:jc w:val="both"/>
        <w:rPr>
          <w:rFonts w:ascii="Arial" w:hAnsi="Arial" w:cs="Arial"/>
          <w:lang w:val="pt-PT"/>
        </w:rPr>
      </w:pPr>
    </w:p>
    <w:p w:rsidR="00B51CFD" w:rsidRDefault="00B51CFD" w:rsidP="0097080D">
      <w:pPr>
        <w:spacing w:after="0" w:line="360" w:lineRule="auto"/>
        <w:ind w:right="4"/>
        <w:jc w:val="both"/>
        <w:rPr>
          <w:rFonts w:ascii="Arial" w:hAnsi="Arial" w:cs="Arial"/>
          <w:lang w:val="pt-PT"/>
        </w:rPr>
      </w:pPr>
    </w:p>
    <w:p w:rsidR="00B51CFD" w:rsidRDefault="00B51CFD" w:rsidP="0097080D">
      <w:pPr>
        <w:spacing w:after="0" w:line="360" w:lineRule="auto"/>
        <w:ind w:right="4"/>
        <w:jc w:val="both"/>
        <w:rPr>
          <w:rFonts w:ascii="Arial" w:hAnsi="Arial" w:cs="Arial"/>
          <w:lang w:val="pt-PT"/>
        </w:rPr>
      </w:pPr>
    </w:p>
    <w:p w:rsidR="00B51CFD" w:rsidRDefault="00B51CFD" w:rsidP="0097080D">
      <w:pPr>
        <w:spacing w:after="0" w:line="360" w:lineRule="auto"/>
        <w:ind w:right="4"/>
        <w:jc w:val="both"/>
        <w:rPr>
          <w:rFonts w:ascii="Arial" w:hAnsi="Arial" w:cs="Arial"/>
          <w:lang w:val="pt-PT"/>
        </w:rPr>
      </w:pPr>
    </w:p>
    <w:p w:rsidR="00B51CFD" w:rsidRDefault="00B51CFD" w:rsidP="0097080D">
      <w:pPr>
        <w:spacing w:after="0" w:line="360" w:lineRule="auto"/>
        <w:ind w:right="4"/>
        <w:jc w:val="both"/>
        <w:rPr>
          <w:rFonts w:ascii="Arial" w:hAnsi="Arial" w:cs="Arial"/>
          <w:lang w:val="pt-PT"/>
        </w:rPr>
      </w:pPr>
    </w:p>
    <w:p w:rsidR="00B51CFD" w:rsidRDefault="00B51CFD" w:rsidP="0097080D">
      <w:pPr>
        <w:spacing w:after="0" w:line="360" w:lineRule="auto"/>
        <w:ind w:right="4"/>
        <w:jc w:val="both"/>
        <w:rPr>
          <w:rFonts w:ascii="Arial" w:hAnsi="Arial" w:cs="Arial"/>
          <w:lang w:val="pt-PT"/>
        </w:rPr>
      </w:pPr>
    </w:p>
    <w:p w:rsidR="00B51CFD" w:rsidRDefault="00B51CFD" w:rsidP="0097080D">
      <w:pPr>
        <w:spacing w:after="0" w:line="360" w:lineRule="auto"/>
        <w:ind w:right="4"/>
        <w:jc w:val="both"/>
        <w:rPr>
          <w:rFonts w:ascii="Arial" w:hAnsi="Arial" w:cs="Arial"/>
          <w:lang w:val="pt-PT"/>
        </w:rPr>
      </w:pPr>
    </w:p>
    <w:p w:rsidR="00B51CFD" w:rsidRDefault="00B51CFD" w:rsidP="0097080D">
      <w:pPr>
        <w:spacing w:after="0" w:line="360" w:lineRule="auto"/>
        <w:ind w:right="4"/>
        <w:jc w:val="both"/>
        <w:rPr>
          <w:rFonts w:ascii="Arial" w:hAnsi="Arial" w:cs="Arial"/>
          <w:lang w:val="pt-PT"/>
        </w:rPr>
      </w:pPr>
    </w:p>
    <w:p w:rsidR="00B51CFD" w:rsidRDefault="00B51CFD" w:rsidP="0097080D">
      <w:pPr>
        <w:spacing w:after="0" w:line="360" w:lineRule="auto"/>
        <w:ind w:right="4"/>
        <w:jc w:val="both"/>
        <w:rPr>
          <w:rFonts w:ascii="Arial" w:hAnsi="Arial" w:cs="Arial"/>
          <w:lang w:val="pt-PT"/>
        </w:rPr>
      </w:pPr>
    </w:p>
    <w:p w:rsidR="00B51CFD" w:rsidRDefault="00B51CFD" w:rsidP="0097080D">
      <w:pPr>
        <w:spacing w:after="0" w:line="360" w:lineRule="auto"/>
        <w:ind w:right="4"/>
        <w:jc w:val="both"/>
        <w:rPr>
          <w:rFonts w:ascii="Arial" w:hAnsi="Arial" w:cs="Arial"/>
          <w:lang w:val="pt-PT"/>
        </w:rPr>
      </w:pPr>
    </w:p>
    <w:p w:rsidR="00B51CFD" w:rsidRDefault="00B51CFD" w:rsidP="0097080D">
      <w:pPr>
        <w:spacing w:after="0" w:line="360" w:lineRule="auto"/>
        <w:ind w:right="4"/>
        <w:jc w:val="both"/>
        <w:rPr>
          <w:rFonts w:ascii="Arial" w:hAnsi="Arial" w:cs="Arial"/>
          <w:lang w:val="pt-PT"/>
        </w:rPr>
      </w:pPr>
    </w:p>
    <w:p w:rsidR="00B51CFD" w:rsidRDefault="00B51CFD" w:rsidP="0097080D">
      <w:pPr>
        <w:spacing w:after="0" w:line="360" w:lineRule="auto"/>
        <w:ind w:right="4"/>
        <w:jc w:val="both"/>
        <w:rPr>
          <w:rFonts w:ascii="Arial" w:hAnsi="Arial" w:cs="Arial"/>
          <w:lang w:val="pt-PT"/>
        </w:rPr>
      </w:pPr>
    </w:p>
    <w:p w:rsidR="00B51CFD" w:rsidRDefault="00B51CFD" w:rsidP="0097080D">
      <w:pPr>
        <w:spacing w:after="0" w:line="360" w:lineRule="auto"/>
        <w:ind w:right="4"/>
        <w:jc w:val="both"/>
        <w:rPr>
          <w:rFonts w:ascii="Arial" w:hAnsi="Arial" w:cs="Arial"/>
          <w:lang w:val="pt-PT"/>
        </w:rPr>
      </w:pPr>
    </w:p>
    <w:p w:rsidR="0097080D" w:rsidRDefault="0097080D" w:rsidP="0097080D">
      <w:pPr>
        <w:spacing w:after="0" w:line="360" w:lineRule="auto"/>
        <w:ind w:right="4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lastRenderedPageBreak/>
        <w:t xml:space="preserve">Tabela 3 - Análise do </w:t>
      </w:r>
      <w:proofErr w:type="spellStart"/>
      <w:r>
        <w:rPr>
          <w:rFonts w:ascii="Arial" w:hAnsi="Arial" w:cs="Arial"/>
          <w:lang w:val="pt-PT"/>
        </w:rPr>
        <w:t>Queficiente</w:t>
      </w:r>
      <w:proofErr w:type="spellEnd"/>
      <w:r>
        <w:rPr>
          <w:rFonts w:ascii="Arial" w:hAnsi="Arial" w:cs="Arial"/>
          <w:lang w:val="pt-PT"/>
        </w:rPr>
        <w:t xml:space="preserve"> de Correlação de </w:t>
      </w:r>
      <w:proofErr w:type="spellStart"/>
      <w:r>
        <w:rPr>
          <w:rFonts w:ascii="Arial" w:hAnsi="Arial" w:cs="Arial"/>
          <w:lang w:val="pt-PT"/>
        </w:rPr>
        <w:t>Pearson</w:t>
      </w:r>
      <w:proofErr w:type="spellEnd"/>
      <w:r>
        <w:rPr>
          <w:rFonts w:ascii="Arial" w:hAnsi="Arial" w:cs="Arial"/>
          <w:lang w:val="pt-PT"/>
        </w:rPr>
        <w:t xml:space="preserve">, quanto à relação entre </w:t>
      </w:r>
      <w:proofErr w:type="gramStart"/>
      <w:r>
        <w:rPr>
          <w:rFonts w:ascii="Arial" w:hAnsi="Arial" w:cs="Arial"/>
          <w:lang w:val="pt-PT"/>
        </w:rPr>
        <w:t>as</w:t>
      </w:r>
      <w:proofErr w:type="gramEnd"/>
      <w:r>
        <w:rPr>
          <w:rFonts w:ascii="Arial" w:hAnsi="Arial" w:cs="Arial"/>
          <w:lang w:val="pt-PT"/>
        </w:rPr>
        <w:t xml:space="preserve"> </w:t>
      </w:r>
      <w:proofErr w:type="gramStart"/>
      <w:r>
        <w:rPr>
          <w:rFonts w:ascii="Arial" w:hAnsi="Arial" w:cs="Arial"/>
          <w:lang w:val="pt-PT"/>
        </w:rPr>
        <w:t>variáveis</w:t>
      </w:r>
      <w:proofErr w:type="gramEnd"/>
      <w:r>
        <w:rPr>
          <w:rFonts w:ascii="Arial" w:hAnsi="Arial" w:cs="Arial"/>
          <w:lang w:val="pt-PT"/>
        </w:rPr>
        <w:t xml:space="preserve"> ângulo do desvio da ET e magnitude do DVD, para os 2 Grupos em estudo</w:t>
      </w:r>
    </w:p>
    <w:tbl>
      <w:tblPr>
        <w:tblStyle w:val="Tabelacomgrelha"/>
        <w:tblW w:w="0" w:type="auto"/>
        <w:tblInd w:w="108" w:type="dxa"/>
        <w:tblLook w:val="04A0"/>
      </w:tblPr>
      <w:tblGrid>
        <w:gridCol w:w="2268"/>
        <w:gridCol w:w="1701"/>
        <w:gridCol w:w="1701"/>
      </w:tblGrid>
      <w:tr w:rsidR="0097080D" w:rsidTr="0097080D">
        <w:trPr>
          <w:trHeight w:val="5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0D" w:rsidRDefault="0097080D">
            <w:pPr>
              <w:spacing w:line="360" w:lineRule="auto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D" w:rsidRDefault="0097080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Grupo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toxina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</w:p>
          <w:p w:rsidR="0097080D" w:rsidRDefault="0097080D">
            <w:pPr>
              <w:spacing w:line="360" w:lineRule="auto"/>
              <w:jc w:val="center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b/>
                <w:lang w:val="pt-PT"/>
              </w:rPr>
              <w:t xml:space="preserve">≤24 </w:t>
            </w:r>
            <w:proofErr w:type="gramStart"/>
            <w:r>
              <w:rPr>
                <w:rFonts w:ascii="Arial" w:hAnsi="Arial" w:cs="Arial"/>
                <w:b/>
                <w:lang w:val="pt-PT"/>
              </w:rPr>
              <w:t>meses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D" w:rsidRDefault="0097080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Grupo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toxina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</w:p>
          <w:p w:rsidR="0097080D" w:rsidRDefault="0097080D">
            <w:pPr>
              <w:spacing w:line="360" w:lineRule="auto"/>
              <w:jc w:val="center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b/>
                <w:lang w:val="pt-PT"/>
              </w:rPr>
              <w:t xml:space="preserve">&gt;24 </w:t>
            </w:r>
            <w:proofErr w:type="gramStart"/>
            <w:r>
              <w:rPr>
                <w:rFonts w:ascii="Arial" w:hAnsi="Arial" w:cs="Arial"/>
                <w:b/>
                <w:lang w:val="pt-PT"/>
              </w:rPr>
              <w:t>meses</w:t>
            </w:r>
            <w:proofErr w:type="gramEnd"/>
          </w:p>
        </w:tc>
      </w:tr>
      <w:tr w:rsidR="0097080D" w:rsidTr="009708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D" w:rsidRDefault="0097080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val="pt-PT"/>
              </w:rPr>
            </w:pPr>
            <w:r>
              <w:rPr>
                <w:rFonts w:ascii="Arial" w:eastAsia="Times New Roman" w:hAnsi="Arial" w:cs="Arial"/>
                <w:color w:val="000000"/>
                <w:lang w:val="pt-PT"/>
              </w:rPr>
              <w:t xml:space="preserve">Ângulo do desvio </w:t>
            </w:r>
          </w:p>
          <w:p w:rsidR="0097080D" w:rsidRDefault="0097080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val="pt-PT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val="pt-PT"/>
              </w:rPr>
              <w:t>da</w:t>
            </w:r>
            <w:proofErr w:type="gramEnd"/>
            <w:r>
              <w:rPr>
                <w:rFonts w:ascii="Arial" w:eastAsia="Times New Roman" w:hAnsi="Arial" w:cs="Arial"/>
                <w:color w:val="000000"/>
                <w:lang w:val="pt-PT"/>
              </w:rPr>
              <w:t xml:space="preserve"> ET, </w:t>
            </w:r>
          </w:p>
          <w:p w:rsidR="0097080D" w:rsidRDefault="0097080D">
            <w:pPr>
              <w:spacing w:line="360" w:lineRule="auto"/>
              <w:jc w:val="center"/>
              <w:rPr>
                <w:rFonts w:ascii="Arial" w:hAnsi="Arial" w:cs="Arial"/>
                <w:lang w:val="pt-PT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val="pt-PT"/>
              </w:rPr>
              <w:t>média</w:t>
            </w:r>
            <w:proofErr w:type="gramEnd"/>
            <w:r>
              <w:rPr>
                <w:rFonts w:ascii="Arial" w:eastAsia="Times New Roman" w:hAnsi="Arial" w:cs="Arial"/>
                <w:color w:val="000000"/>
                <w:lang w:val="pt-PT"/>
              </w:rPr>
              <w:t xml:space="preserve"> (DP)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D" w:rsidRDefault="0097080D">
            <w:pPr>
              <w:spacing w:line="360" w:lineRule="auto"/>
              <w:jc w:val="center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35.3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D" w:rsidRDefault="0097080D">
            <w:pPr>
              <w:spacing w:line="360" w:lineRule="auto"/>
              <w:jc w:val="center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27.7</w:t>
            </w:r>
          </w:p>
        </w:tc>
      </w:tr>
      <w:tr w:rsidR="0097080D" w:rsidTr="009708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D" w:rsidRDefault="0097080D">
            <w:pPr>
              <w:spacing w:line="360" w:lineRule="auto"/>
              <w:jc w:val="center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Magnitude do DVD, média (DP) ±</w:t>
            </w:r>
          </w:p>
          <w:p w:rsidR="0097080D" w:rsidRDefault="0097080D">
            <w:pPr>
              <w:spacing w:line="360" w:lineRule="auto"/>
              <w:jc w:val="center"/>
              <w:rPr>
                <w:rFonts w:ascii="Arial" w:hAnsi="Arial" w:cs="Arial"/>
                <w:lang w:val="pt-PT"/>
              </w:rPr>
            </w:pPr>
            <w:proofErr w:type="gramStart"/>
            <w:r>
              <w:rPr>
                <w:rFonts w:ascii="Arial" w:hAnsi="Arial" w:cs="Arial"/>
                <w:lang w:val="pt-PT"/>
              </w:rPr>
              <w:t>desvio</w:t>
            </w:r>
            <w:proofErr w:type="gramEnd"/>
            <w:r>
              <w:rPr>
                <w:rFonts w:ascii="Arial" w:hAnsi="Arial" w:cs="Arial"/>
                <w:lang w:val="pt-PT"/>
              </w:rPr>
              <w:t xml:space="preserve"> padrão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D" w:rsidRDefault="0097080D">
            <w:pPr>
              <w:spacing w:line="360" w:lineRule="auto"/>
              <w:jc w:val="center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3.3±2.3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D" w:rsidRDefault="0097080D">
            <w:pPr>
              <w:spacing w:line="360" w:lineRule="auto"/>
              <w:jc w:val="center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7.5±3.1</w:t>
            </w:r>
          </w:p>
        </w:tc>
      </w:tr>
      <w:tr w:rsidR="0097080D" w:rsidTr="009708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D" w:rsidRDefault="0097080D">
            <w:pPr>
              <w:spacing w:line="360" w:lineRule="auto"/>
              <w:jc w:val="center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 xml:space="preserve">Variância do </w:t>
            </w:r>
            <w:r>
              <w:rPr>
                <w:rFonts w:ascii="Arial" w:eastAsia="Times New Roman" w:hAnsi="Arial" w:cs="Arial"/>
                <w:color w:val="000000"/>
                <w:lang w:val="pt-PT"/>
              </w:rPr>
              <w:t>ângulo do desvio 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D" w:rsidRDefault="0097080D">
            <w:pPr>
              <w:spacing w:line="360" w:lineRule="auto"/>
              <w:jc w:val="center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5.4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D" w:rsidRDefault="0097080D">
            <w:pPr>
              <w:spacing w:line="360" w:lineRule="auto"/>
              <w:jc w:val="center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10.1</w:t>
            </w:r>
          </w:p>
        </w:tc>
      </w:tr>
      <w:tr w:rsidR="0097080D" w:rsidTr="009708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D" w:rsidRDefault="0097080D">
            <w:pPr>
              <w:spacing w:line="360" w:lineRule="auto"/>
              <w:jc w:val="center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Covariância</w:t>
            </w:r>
            <w:r>
              <w:rPr>
                <w:rFonts w:ascii="Arial" w:eastAsia="Times New Roman" w:hAnsi="Arial" w:cs="Arial"/>
                <w:color w:val="000000"/>
                <w:lang w:val="pt-PT"/>
              </w:rPr>
              <w:t xml:space="preserve"> do ângulo do desvio 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D" w:rsidRDefault="0097080D">
            <w:pPr>
              <w:spacing w:line="360" w:lineRule="auto"/>
              <w:jc w:val="center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11.6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D" w:rsidRDefault="0097080D">
            <w:pPr>
              <w:spacing w:line="360" w:lineRule="auto"/>
              <w:jc w:val="center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21.8</w:t>
            </w:r>
          </w:p>
        </w:tc>
      </w:tr>
      <w:tr w:rsidR="0097080D" w:rsidTr="009708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D" w:rsidRDefault="0097080D">
            <w:pPr>
              <w:spacing w:line="360" w:lineRule="auto"/>
              <w:jc w:val="center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Valor de 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D" w:rsidRDefault="0097080D">
            <w:pPr>
              <w:spacing w:line="360" w:lineRule="auto"/>
              <w:jc w:val="center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D" w:rsidRDefault="0097080D">
            <w:pPr>
              <w:spacing w:line="360" w:lineRule="auto"/>
              <w:jc w:val="center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0.68</w:t>
            </w:r>
          </w:p>
        </w:tc>
      </w:tr>
    </w:tbl>
    <w:p w:rsidR="0097080D" w:rsidRDefault="0097080D" w:rsidP="0097080D">
      <w:pPr>
        <w:tabs>
          <w:tab w:val="left" w:pos="9356"/>
        </w:tabs>
        <w:spacing w:after="0" w:line="360" w:lineRule="auto"/>
        <w:ind w:right="4"/>
        <w:jc w:val="both"/>
        <w:rPr>
          <w:rFonts w:ascii="Arial" w:hAnsi="Arial" w:cs="Arial"/>
          <w:lang w:val="pt-PT"/>
        </w:rPr>
      </w:pPr>
    </w:p>
    <w:p w:rsidR="00B51CFD" w:rsidRDefault="00B51CFD" w:rsidP="0097080D">
      <w:pPr>
        <w:tabs>
          <w:tab w:val="left" w:pos="9356"/>
        </w:tabs>
        <w:spacing w:after="0" w:line="360" w:lineRule="auto"/>
        <w:ind w:right="4"/>
        <w:jc w:val="both"/>
        <w:rPr>
          <w:rFonts w:ascii="Arial" w:hAnsi="Arial" w:cs="Arial"/>
          <w:lang w:val="pt-PT"/>
        </w:rPr>
      </w:pPr>
    </w:p>
    <w:p w:rsidR="00B51CFD" w:rsidRDefault="00B51CFD" w:rsidP="0097080D">
      <w:pPr>
        <w:tabs>
          <w:tab w:val="left" w:pos="9356"/>
        </w:tabs>
        <w:spacing w:after="0" w:line="360" w:lineRule="auto"/>
        <w:ind w:right="4"/>
        <w:jc w:val="both"/>
        <w:rPr>
          <w:rFonts w:ascii="Arial" w:hAnsi="Arial" w:cs="Arial"/>
          <w:lang w:val="pt-PT"/>
        </w:rPr>
      </w:pPr>
    </w:p>
    <w:p w:rsidR="0097080D" w:rsidRDefault="0097080D" w:rsidP="0097080D">
      <w:pPr>
        <w:tabs>
          <w:tab w:val="left" w:pos="9356"/>
        </w:tabs>
        <w:spacing w:after="0" w:line="360" w:lineRule="auto"/>
        <w:ind w:right="4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Tabela 4 - Análise do Teste Qui-quadrado para a presença de DVD, comparando os 2 Grupos em estudo </w:t>
      </w:r>
    </w:p>
    <w:tbl>
      <w:tblPr>
        <w:tblW w:w="625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3"/>
        <w:gridCol w:w="1701"/>
        <w:gridCol w:w="1701"/>
        <w:gridCol w:w="1417"/>
      </w:tblGrid>
      <w:tr w:rsidR="0097080D" w:rsidTr="0097080D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080D" w:rsidRPr="0097080D" w:rsidRDefault="0097080D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pt-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080D" w:rsidRDefault="009708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Grupo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toxina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lang w:val="pt-PT"/>
              </w:rPr>
              <w:t>≤24 meses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080D" w:rsidRDefault="009708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Grupo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toxina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lang w:val="pt-PT"/>
              </w:rPr>
              <w:t>&gt;24 meses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D" w:rsidRDefault="009708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Valor de P</w:t>
            </w:r>
          </w:p>
        </w:tc>
      </w:tr>
      <w:tr w:rsidR="0097080D" w:rsidTr="0097080D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080D" w:rsidRDefault="009708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</w:rPr>
              <w:t>Presença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</w:rPr>
              <w:t xml:space="preserve"> de DVD, </w:t>
            </w:r>
          </w:p>
          <w:p w:rsidR="0097080D" w:rsidRDefault="009708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proofErr w:type="gramStart"/>
            <w:r>
              <w:rPr>
                <w:rFonts w:ascii="Arial" w:eastAsia="Times New Roman" w:hAnsi="Arial" w:cs="Arial"/>
                <w:bCs/>
                <w:color w:val="000000"/>
              </w:rPr>
              <w:t>n</w:t>
            </w:r>
            <w:proofErr w:type="gramEnd"/>
            <w:r>
              <w:rPr>
                <w:rFonts w:ascii="Arial" w:eastAsia="Times New Roman" w:hAnsi="Arial" w:cs="Arial"/>
                <w:bCs/>
                <w:color w:val="000000"/>
              </w:rPr>
              <w:t xml:space="preserve">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080D" w:rsidRDefault="00970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37 (74)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080D" w:rsidRDefault="00970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49 (98)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D" w:rsidRDefault="00970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0.0005</w:t>
            </w:r>
          </w:p>
        </w:tc>
      </w:tr>
      <w:tr w:rsidR="0097080D" w:rsidTr="0097080D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080D" w:rsidRDefault="009708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</w:rPr>
              <w:t>Sem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</w:rPr>
              <w:t xml:space="preserve"> DVD, n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080D" w:rsidRDefault="00970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13 (26)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080D" w:rsidRDefault="00970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 (2)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D" w:rsidRDefault="009708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97080D" w:rsidRDefault="0097080D" w:rsidP="0097080D">
      <w:pPr>
        <w:spacing w:after="0" w:line="360" w:lineRule="auto"/>
        <w:ind w:right="1847"/>
        <w:jc w:val="both"/>
        <w:rPr>
          <w:rFonts w:ascii="Arial" w:hAnsi="Arial" w:cs="Arial"/>
          <w:lang w:val="pt-PT"/>
        </w:rPr>
      </w:pPr>
    </w:p>
    <w:p w:rsidR="00B51CFD" w:rsidRDefault="00B51CFD" w:rsidP="0097080D">
      <w:pPr>
        <w:spacing w:after="0" w:line="360" w:lineRule="auto"/>
        <w:ind w:right="4"/>
        <w:jc w:val="both"/>
        <w:rPr>
          <w:rFonts w:ascii="Arial" w:hAnsi="Arial" w:cs="Arial"/>
          <w:lang w:val="pt-PT"/>
        </w:rPr>
      </w:pPr>
    </w:p>
    <w:p w:rsidR="0097080D" w:rsidRDefault="0097080D" w:rsidP="0097080D">
      <w:pPr>
        <w:spacing w:after="0" w:line="360" w:lineRule="auto"/>
        <w:ind w:right="4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Tabela 5 - Análise do Teste Qui-quadrado para o grau de DVD, comparando os 2 Grupos em estudo </w:t>
      </w:r>
    </w:p>
    <w:tbl>
      <w:tblPr>
        <w:tblW w:w="68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03"/>
        <w:gridCol w:w="1702"/>
        <w:gridCol w:w="1702"/>
        <w:gridCol w:w="1418"/>
      </w:tblGrid>
      <w:tr w:rsidR="0097080D" w:rsidTr="0097080D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080D" w:rsidRPr="0097080D" w:rsidRDefault="0097080D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pt-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080D" w:rsidRDefault="009708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Grupo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toxina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lang w:val="pt-PT"/>
              </w:rPr>
              <w:t>≤24 meses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080D" w:rsidRDefault="009708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Grupo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toxina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lang w:val="pt-PT"/>
              </w:rPr>
              <w:t>&gt;24 meses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D" w:rsidRDefault="009708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Valor de P</w:t>
            </w:r>
          </w:p>
        </w:tc>
      </w:tr>
      <w:tr w:rsidR="0097080D" w:rsidTr="0097080D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080D" w:rsidRDefault="009708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 xml:space="preserve">DVD &lt; 5 DP, </w:t>
            </w:r>
            <w:proofErr w:type="gramStart"/>
            <w:r>
              <w:rPr>
                <w:rFonts w:ascii="Arial" w:eastAsia="Times New Roman" w:hAnsi="Arial" w:cs="Arial"/>
                <w:bCs/>
                <w:color w:val="000000"/>
              </w:rPr>
              <w:t>n(</w:t>
            </w:r>
            <w:proofErr w:type="gramEnd"/>
            <w:r>
              <w:rPr>
                <w:rFonts w:ascii="Arial" w:eastAsia="Times New Roman" w:hAnsi="Arial" w:cs="Arial"/>
                <w:bCs/>
                <w:color w:val="000000"/>
              </w:rPr>
              <w:t>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080D" w:rsidRDefault="00970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33 (66)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080D" w:rsidRDefault="00970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12 (24)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D" w:rsidRDefault="00970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0.000004</w:t>
            </w:r>
          </w:p>
        </w:tc>
      </w:tr>
      <w:tr w:rsidR="0097080D" w:rsidTr="0097080D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080D" w:rsidRDefault="009708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5D ≤ DVD &lt; 10D, n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080D" w:rsidRDefault="00970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17 (34)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080D" w:rsidRDefault="00970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24 (48)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D" w:rsidRDefault="009708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080D" w:rsidTr="0097080D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080D" w:rsidRDefault="009708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DVD ≥10D, n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080D" w:rsidRDefault="00970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 (0)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080D" w:rsidRDefault="00970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14 (28)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D" w:rsidRDefault="009708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97080D" w:rsidRPr="00B51CFD" w:rsidRDefault="00B51CFD" w:rsidP="00B51CFD">
      <w:pPr>
        <w:spacing w:after="0" w:line="360" w:lineRule="auto"/>
        <w:ind w:right="4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lastRenderedPageBreak/>
        <w:t xml:space="preserve">Gráfico 1 - Gráfico de distribuição da magnitude do DVD em função do ângulo do desvio da ET, comparando os 2 Grupos em estudo </w:t>
      </w:r>
    </w:p>
    <w:p w:rsidR="0097080D" w:rsidRPr="00A15FDD" w:rsidRDefault="0097080D">
      <w:pPr>
        <w:rPr>
          <w:lang w:val="pt-PT"/>
        </w:rPr>
      </w:pPr>
      <w:r w:rsidRPr="0097080D">
        <w:rPr>
          <w:lang w:val="pt-PT"/>
        </w:rPr>
        <w:drawing>
          <wp:inline distT="0" distB="0" distL="0" distR="0">
            <wp:extent cx="3876672" cy="2743203"/>
            <wp:effectExtent l="0" t="0" r="0" b="0"/>
            <wp:docPr id="1" name="Objecto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876672" cy="2743203"/>
                      <a:chOff x="0" y="0"/>
                      <a:chExt cx="3876672" cy="2743203"/>
                    </a:xfrm>
                  </a:grpSpPr>
                  <a:graphicFrame>
                    <a:nvGraphicFramePr>
                      <a:cNvPr id="5" name="Gráfico 4"/>
                      <a:cNvGraphicFramePr/>
                    </a:nvGraphicFramePr>
                    <a:graphic>
                      <a:graphicData uri="http://schemas.openxmlformats.org/drawingml/2006/chart">
                        <c:chart xmlns:c="http://schemas.openxmlformats.org/drawingml/2006/chart" xmlns:r="http://schemas.openxmlformats.org/officeDocument/2006/relationships" r:id="rId4"/>
                      </a:graphicData>
                    </a:graphic>
                    <a:xfrm>
                      <a:off x="285747" y="3"/>
                      <a:ext cx="3590925" cy="2743200"/>
                    </a:xfrm>
                  </a:graphicFrame>
                  <a:sp>
                    <a:nvSpPr>
                      <a:cNvPr id="6" name="CaixaDeTexto 5"/>
                      <a:cNvSpPr txBox="1"/>
                    </a:nvSpPr>
                    <a:spPr>
                      <a:xfrm>
                        <a:off x="1314447" y="2162176"/>
                        <a:ext cx="1762125" cy="238125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</a:ln>
                    </a:spPr>
                    <a:txSp>
                      <a:txBody>
                        <a:bodyPr vertOverflow="clip" horzOverflow="clip" wrap="square" rtlCol="0" anchor="t"/>
                        <a:lstStyle>
                          <a:lvl1pPr marL="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100"/>
                            <a:t>Ângulo</a:t>
                          </a:r>
                          <a:r>
                            <a:rPr lang="en-US" sz="1100" baseline="0"/>
                            <a:t>  do desvio ET (DP)</a:t>
                          </a:r>
                          <a:endParaRPr lang="en-US" sz="1100"/>
                        </a:p>
                      </a:txBody>
                      <a:useSpRect/>
                    </a:txSp>
                    <a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7" name="CaixaDeTexto 6"/>
                      <a:cNvSpPr txBox="1"/>
                    </a:nvSpPr>
                    <a:spPr>
                      <a:xfrm rot="16200000">
                        <a:off x="-742950" y="742950"/>
                        <a:ext cx="1762125" cy="276225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</a:ln>
                    </a:spPr>
                    <a:txSp>
                      <a:txBody>
                        <a:bodyPr vertOverflow="clip" horzOverflow="clip" wrap="square" rtlCol="0" anchor="t"/>
                        <a:lstStyle>
                          <a:lvl1pPr marL="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100"/>
                            <a:t>Magnitude do  DVD (DP)</a:t>
                          </a:r>
                        </a:p>
                      </a:txBody>
                      <a:useSpRect/>
                    </a:txSp>
                    <a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</w:p>
    <w:sectPr w:rsidR="0097080D" w:rsidRPr="00A15FDD" w:rsidSect="006012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5FDD"/>
    <w:rsid w:val="004A6656"/>
    <w:rsid w:val="00546CEA"/>
    <w:rsid w:val="00601271"/>
    <w:rsid w:val="006D157B"/>
    <w:rsid w:val="00737546"/>
    <w:rsid w:val="0097080D"/>
    <w:rsid w:val="00A07080"/>
    <w:rsid w:val="00A15FDD"/>
    <w:rsid w:val="00AE4F9C"/>
    <w:rsid w:val="00B51CFD"/>
    <w:rsid w:val="00DD5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FDD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A15F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970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7080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Diana%20Cristovao\Desktop\Trabalho%20DVD\estudo%20DVD_diana_15_05_201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autoTitleDeleted val="1"/>
    <c:plotArea>
      <c:layout/>
      <c:scatterChart>
        <c:scatterStyle val="lineMarker"/>
        <c:ser>
          <c:idx val="0"/>
          <c:order val="0"/>
          <c:tx>
            <c:strRef>
              <c:f>Sheet6!$B$2</c:f>
              <c:strCache>
                <c:ptCount val="1"/>
                <c:pt idx="0">
                  <c:v>Grupo toxina &gt;24 meses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2540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</c:trendline>
          <c:xVal>
            <c:numRef>
              <c:f>Sheet6!$A$3:$A$52</c:f>
              <c:numCache>
                <c:formatCode>General</c:formatCode>
                <c:ptCount val="50"/>
                <c:pt idx="0">
                  <c:v>10</c:v>
                </c:pt>
                <c:pt idx="1">
                  <c:v>14</c:v>
                </c:pt>
                <c:pt idx="2">
                  <c:v>14</c:v>
                </c:pt>
                <c:pt idx="3">
                  <c:v>14</c:v>
                </c:pt>
                <c:pt idx="4">
                  <c:v>15</c:v>
                </c:pt>
                <c:pt idx="5">
                  <c:v>16</c:v>
                </c:pt>
                <c:pt idx="6">
                  <c:v>16</c:v>
                </c:pt>
                <c:pt idx="7">
                  <c:v>16</c:v>
                </c:pt>
                <c:pt idx="8">
                  <c:v>16</c:v>
                </c:pt>
                <c:pt idx="9">
                  <c:v>18</c:v>
                </c:pt>
                <c:pt idx="10">
                  <c:v>18</c:v>
                </c:pt>
                <c:pt idx="11">
                  <c:v>18</c:v>
                </c:pt>
                <c:pt idx="12">
                  <c:v>18</c:v>
                </c:pt>
                <c:pt idx="13">
                  <c:v>20</c:v>
                </c:pt>
                <c:pt idx="14">
                  <c:v>20</c:v>
                </c:pt>
                <c:pt idx="15">
                  <c:v>20</c:v>
                </c:pt>
                <c:pt idx="16">
                  <c:v>20</c:v>
                </c:pt>
                <c:pt idx="17">
                  <c:v>20</c:v>
                </c:pt>
                <c:pt idx="18">
                  <c:v>20</c:v>
                </c:pt>
                <c:pt idx="19">
                  <c:v>20</c:v>
                </c:pt>
                <c:pt idx="20">
                  <c:v>25</c:v>
                </c:pt>
                <c:pt idx="21">
                  <c:v>25</c:v>
                </c:pt>
                <c:pt idx="22">
                  <c:v>25</c:v>
                </c:pt>
                <c:pt idx="23">
                  <c:v>25</c:v>
                </c:pt>
                <c:pt idx="24">
                  <c:v>30</c:v>
                </c:pt>
                <c:pt idx="25">
                  <c:v>30</c:v>
                </c:pt>
                <c:pt idx="26">
                  <c:v>30</c:v>
                </c:pt>
                <c:pt idx="27">
                  <c:v>30</c:v>
                </c:pt>
                <c:pt idx="28">
                  <c:v>30</c:v>
                </c:pt>
                <c:pt idx="29">
                  <c:v>30</c:v>
                </c:pt>
                <c:pt idx="30">
                  <c:v>30</c:v>
                </c:pt>
                <c:pt idx="31">
                  <c:v>30</c:v>
                </c:pt>
                <c:pt idx="32">
                  <c:v>30</c:v>
                </c:pt>
                <c:pt idx="33">
                  <c:v>35</c:v>
                </c:pt>
                <c:pt idx="34">
                  <c:v>35</c:v>
                </c:pt>
                <c:pt idx="35">
                  <c:v>35</c:v>
                </c:pt>
                <c:pt idx="36">
                  <c:v>35</c:v>
                </c:pt>
                <c:pt idx="37">
                  <c:v>40</c:v>
                </c:pt>
                <c:pt idx="38">
                  <c:v>40</c:v>
                </c:pt>
                <c:pt idx="39">
                  <c:v>40</c:v>
                </c:pt>
                <c:pt idx="40">
                  <c:v>40</c:v>
                </c:pt>
                <c:pt idx="41">
                  <c:v>40</c:v>
                </c:pt>
                <c:pt idx="42">
                  <c:v>40</c:v>
                </c:pt>
                <c:pt idx="43">
                  <c:v>40</c:v>
                </c:pt>
                <c:pt idx="44">
                  <c:v>40</c:v>
                </c:pt>
                <c:pt idx="45">
                  <c:v>40</c:v>
                </c:pt>
                <c:pt idx="46">
                  <c:v>40</c:v>
                </c:pt>
                <c:pt idx="47">
                  <c:v>40</c:v>
                </c:pt>
                <c:pt idx="48">
                  <c:v>45</c:v>
                </c:pt>
                <c:pt idx="49">
                  <c:v>45</c:v>
                </c:pt>
              </c:numCache>
            </c:numRef>
          </c:xVal>
          <c:yVal>
            <c:numRef>
              <c:f>Sheet6!$B$3:$B$52</c:f>
              <c:numCache>
                <c:formatCode>General</c:formatCode>
                <c:ptCount val="50"/>
                <c:pt idx="0">
                  <c:v>6</c:v>
                </c:pt>
                <c:pt idx="1">
                  <c:v>4</c:v>
                </c:pt>
                <c:pt idx="2">
                  <c:v>4</c:v>
                </c:pt>
                <c:pt idx="3">
                  <c:v>2</c:v>
                </c:pt>
                <c:pt idx="4">
                  <c:v>2</c:v>
                </c:pt>
                <c:pt idx="5">
                  <c:v>5</c:v>
                </c:pt>
                <c:pt idx="6">
                  <c:v>4</c:v>
                </c:pt>
                <c:pt idx="7">
                  <c:v>4</c:v>
                </c:pt>
                <c:pt idx="8">
                  <c:v>0</c:v>
                </c:pt>
                <c:pt idx="9">
                  <c:v>6</c:v>
                </c:pt>
                <c:pt idx="10">
                  <c:v>6</c:v>
                </c:pt>
                <c:pt idx="11">
                  <c:v>4</c:v>
                </c:pt>
                <c:pt idx="12">
                  <c:v>8</c:v>
                </c:pt>
                <c:pt idx="13">
                  <c:v>4</c:v>
                </c:pt>
                <c:pt idx="14">
                  <c:v>5</c:v>
                </c:pt>
                <c:pt idx="15">
                  <c:v>5</c:v>
                </c:pt>
                <c:pt idx="16">
                  <c:v>7</c:v>
                </c:pt>
                <c:pt idx="17">
                  <c:v>8</c:v>
                </c:pt>
                <c:pt idx="18">
                  <c:v>5</c:v>
                </c:pt>
                <c:pt idx="19">
                  <c:v>5</c:v>
                </c:pt>
                <c:pt idx="20">
                  <c:v>4</c:v>
                </c:pt>
                <c:pt idx="21">
                  <c:v>6</c:v>
                </c:pt>
                <c:pt idx="22">
                  <c:v>10</c:v>
                </c:pt>
                <c:pt idx="23">
                  <c:v>4</c:v>
                </c:pt>
                <c:pt idx="24">
                  <c:v>4</c:v>
                </c:pt>
                <c:pt idx="25">
                  <c:v>8</c:v>
                </c:pt>
                <c:pt idx="26">
                  <c:v>10</c:v>
                </c:pt>
                <c:pt idx="27">
                  <c:v>8</c:v>
                </c:pt>
                <c:pt idx="28">
                  <c:v>12</c:v>
                </c:pt>
                <c:pt idx="29">
                  <c:v>8</c:v>
                </c:pt>
                <c:pt idx="30">
                  <c:v>14</c:v>
                </c:pt>
                <c:pt idx="31">
                  <c:v>10</c:v>
                </c:pt>
                <c:pt idx="32">
                  <c:v>6</c:v>
                </c:pt>
                <c:pt idx="33">
                  <c:v>8</c:v>
                </c:pt>
                <c:pt idx="34">
                  <c:v>10</c:v>
                </c:pt>
                <c:pt idx="35">
                  <c:v>6</c:v>
                </c:pt>
                <c:pt idx="36">
                  <c:v>6</c:v>
                </c:pt>
                <c:pt idx="37">
                  <c:v>12</c:v>
                </c:pt>
                <c:pt idx="38">
                  <c:v>10</c:v>
                </c:pt>
                <c:pt idx="39">
                  <c:v>8</c:v>
                </c:pt>
                <c:pt idx="40">
                  <c:v>14</c:v>
                </c:pt>
                <c:pt idx="41">
                  <c:v>14</c:v>
                </c:pt>
                <c:pt idx="42">
                  <c:v>8</c:v>
                </c:pt>
                <c:pt idx="43">
                  <c:v>8</c:v>
                </c:pt>
                <c:pt idx="44">
                  <c:v>10</c:v>
                </c:pt>
                <c:pt idx="45">
                  <c:v>8</c:v>
                </c:pt>
                <c:pt idx="46">
                  <c:v>10</c:v>
                </c:pt>
                <c:pt idx="47">
                  <c:v>10</c:v>
                </c:pt>
                <c:pt idx="48">
                  <c:v>10</c:v>
                </c:pt>
                <c:pt idx="49">
                  <c:v>8</c:v>
                </c:pt>
              </c:numCache>
            </c:numRef>
          </c:yVal>
        </c:ser>
        <c:ser>
          <c:idx val="1"/>
          <c:order val="1"/>
          <c:tx>
            <c:strRef>
              <c:f>Sheet6!$D$2</c:f>
              <c:strCache>
                <c:ptCount val="1"/>
                <c:pt idx="0">
                  <c:v>Grupo toxina ≤24 meses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noFill/>
              </a:ln>
              <a:effectLst/>
            </c:spPr>
          </c:marker>
          <c:trendline>
            <c:spPr>
              <a:ln w="2540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</c:trendline>
          <c:xVal>
            <c:numRef>
              <c:f>Sheet6!$C$3:$C$52</c:f>
              <c:numCache>
                <c:formatCode>General</c:formatCode>
                <c:ptCount val="50"/>
                <c:pt idx="0">
                  <c:v>20</c:v>
                </c:pt>
                <c:pt idx="1">
                  <c:v>20</c:v>
                </c:pt>
                <c:pt idx="2">
                  <c:v>25</c:v>
                </c:pt>
                <c:pt idx="3">
                  <c:v>25</c:v>
                </c:pt>
                <c:pt idx="4">
                  <c:v>25</c:v>
                </c:pt>
                <c:pt idx="5">
                  <c:v>25</c:v>
                </c:pt>
                <c:pt idx="6">
                  <c:v>25</c:v>
                </c:pt>
                <c:pt idx="7">
                  <c:v>25</c:v>
                </c:pt>
                <c:pt idx="8">
                  <c:v>30</c:v>
                </c:pt>
                <c:pt idx="9">
                  <c:v>30</c:v>
                </c:pt>
                <c:pt idx="10">
                  <c:v>30</c:v>
                </c:pt>
                <c:pt idx="11">
                  <c:v>30</c:v>
                </c:pt>
                <c:pt idx="12">
                  <c:v>30</c:v>
                </c:pt>
                <c:pt idx="13">
                  <c:v>30</c:v>
                </c:pt>
                <c:pt idx="14">
                  <c:v>30</c:v>
                </c:pt>
                <c:pt idx="15">
                  <c:v>30</c:v>
                </c:pt>
                <c:pt idx="16">
                  <c:v>30</c:v>
                </c:pt>
                <c:pt idx="17">
                  <c:v>30</c:v>
                </c:pt>
                <c:pt idx="18">
                  <c:v>30</c:v>
                </c:pt>
                <c:pt idx="19">
                  <c:v>30</c:v>
                </c:pt>
                <c:pt idx="20">
                  <c:v>35</c:v>
                </c:pt>
                <c:pt idx="21">
                  <c:v>35</c:v>
                </c:pt>
                <c:pt idx="22">
                  <c:v>35</c:v>
                </c:pt>
                <c:pt idx="23">
                  <c:v>35</c:v>
                </c:pt>
                <c:pt idx="24">
                  <c:v>35</c:v>
                </c:pt>
                <c:pt idx="25">
                  <c:v>35</c:v>
                </c:pt>
                <c:pt idx="26">
                  <c:v>35</c:v>
                </c:pt>
                <c:pt idx="27">
                  <c:v>35</c:v>
                </c:pt>
                <c:pt idx="28">
                  <c:v>35</c:v>
                </c:pt>
                <c:pt idx="29">
                  <c:v>40</c:v>
                </c:pt>
                <c:pt idx="30">
                  <c:v>40</c:v>
                </c:pt>
                <c:pt idx="31">
                  <c:v>40</c:v>
                </c:pt>
                <c:pt idx="32">
                  <c:v>40</c:v>
                </c:pt>
                <c:pt idx="33">
                  <c:v>40</c:v>
                </c:pt>
                <c:pt idx="34">
                  <c:v>40</c:v>
                </c:pt>
                <c:pt idx="35">
                  <c:v>40</c:v>
                </c:pt>
                <c:pt idx="36">
                  <c:v>40</c:v>
                </c:pt>
                <c:pt idx="37">
                  <c:v>40</c:v>
                </c:pt>
                <c:pt idx="38">
                  <c:v>40</c:v>
                </c:pt>
                <c:pt idx="39">
                  <c:v>40</c:v>
                </c:pt>
                <c:pt idx="40">
                  <c:v>45</c:v>
                </c:pt>
                <c:pt idx="41">
                  <c:v>45</c:v>
                </c:pt>
                <c:pt idx="42">
                  <c:v>45</c:v>
                </c:pt>
                <c:pt idx="43">
                  <c:v>45</c:v>
                </c:pt>
                <c:pt idx="44">
                  <c:v>45</c:v>
                </c:pt>
                <c:pt idx="45">
                  <c:v>45</c:v>
                </c:pt>
                <c:pt idx="46">
                  <c:v>45</c:v>
                </c:pt>
                <c:pt idx="47">
                  <c:v>45</c:v>
                </c:pt>
                <c:pt idx="48">
                  <c:v>50</c:v>
                </c:pt>
                <c:pt idx="49">
                  <c:v>50</c:v>
                </c:pt>
              </c:numCache>
            </c:numRef>
          </c:xVal>
          <c:yVal>
            <c:numRef>
              <c:f>Sheet6!$D$3:$D$52</c:f>
              <c:numCache>
                <c:formatCode>General</c:formatCode>
                <c:ptCount val="50"/>
                <c:pt idx="0">
                  <c:v>0</c:v>
                </c:pt>
                <c:pt idx="1">
                  <c:v>0</c:v>
                </c:pt>
                <c:pt idx="2">
                  <c:v>6</c:v>
                </c:pt>
                <c:pt idx="3">
                  <c:v>3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8</c:v>
                </c:pt>
                <c:pt idx="9">
                  <c:v>4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5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4</c:v>
                </c:pt>
                <c:pt idx="19">
                  <c:v>3</c:v>
                </c:pt>
                <c:pt idx="20">
                  <c:v>4</c:v>
                </c:pt>
                <c:pt idx="21">
                  <c:v>3</c:v>
                </c:pt>
                <c:pt idx="22">
                  <c:v>4</c:v>
                </c:pt>
                <c:pt idx="23">
                  <c:v>5</c:v>
                </c:pt>
                <c:pt idx="24">
                  <c:v>4</c:v>
                </c:pt>
                <c:pt idx="25">
                  <c:v>3</c:v>
                </c:pt>
                <c:pt idx="26">
                  <c:v>3</c:v>
                </c:pt>
                <c:pt idx="27">
                  <c:v>4</c:v>
                </c:pt>
                <c:pt idx="28">
                  <c:v>3</c:v>
                </c:pt>
                <c:pt idx="29">
                  <c:v>4</c:v>
                </c:pt>
                <c:pt idx="30">
                  <c:v>5</c:v>
                </c:pt>
                <c:pt idx="31">
                  <c:v>5</c:v>
                </c:pt>
                <c:pt idx="32">
                  <c:v>4</c:v>
                </c:pt>
                <c:pt idx="33">
                  <c:v>2</c:v>
                </c:pt>
                <c:pt idx="34">
                  <c:v>3</c:v>
                </c:pt>
                <c:pt idx="35">
                  <c:v>4</c:v>
                </c:pt>
                <c:pt idx="36">
                  <c:v>5</c:v>
                </c:pt>
                <c:pt idx="37">
                  <c:v>4</c:v>
                </c:pt>
                <c:pt idx="38">
                  <c:v>5</c:v>
                </c:pt>
                <c:pt idx="39">
                  <c:v>5</c:v>
                </c:pt>
                <c:pt idx="40">
                  <c:v>6</c:v>
                </c:pt>
                <c:pt idx="41">
                  <c:v>5</c:v>
                </c:pt>
                <c:pt idx="42">
                  <c:v>3</c:v>
                </c:pt>
                <c:pt idx="43">
                  <c:v>5</c:v>
                </c:pt>
                <c:pt idx="44">
                  <c:v>6</c:v>
                </c:pt>
                <c:pt idx="45">
                  <c:v>4</c:v>
                </c:pt>
                <c:pt idx="46">
                  <c:v>8</c:v>
                </c:pt>
                <c:pt idx="47">
                  <c:v>6</c:v>
                </c:pt>
                <c:pt idx="48">
                  <c:v>6</c:v>
                </c:pt>
                <c:pt idx="49">
                  <c:v>6</c:v>
                </c:pt>
              </c:numCache>
            </c:numRef>
          </c:yVal>
        </c:ser>
        <c:axId val="99407744"/>
        <c:axId val="85606784"/>
      </c:scatterChart>
      <c:valAx>
        <c:axId val="9940774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5606784"/>
        <c:crosses val="autoZero"/>
        <c:crossBetween val="midCat"/>
      </c:valAx>
      <c:valAx>
        <c:axId val="856067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40774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1.6266678116604011E-2"/>
          <c:y val="0.89555374543699173"/>
          <c:w val="0.98373332188339557"/>
          <c:h val="0.1044462545630073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</dc:creator>
  <cp:keywords/>
  <dc:description/>
  <cp:lastModifiedBy>Di</cp:lastModifiedBy>
  <cp:revision>1</cp:revision>
  <dcterms:created xsi:type="dcterms:W3CDTF">2015-10-01T17:20:00Z</dcterms:created>
  <dcterms:modified xsi:type="dcterms:W3CDTF">2015-10-01T17:54:00Z</dcterms:modified>
</cp:coreProperties>
</file>