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4F81BD"/>
          <w:bottom w:val="single" w:sz="8" w:space="0" w:color="4F81BD"/>
        </w:tblBorders>
        <w:tblCellMar>
          <w:left w:w="113" w:type="dxa"/>
          <w:right w:w="0" w:type="dxa"/>
        </w:tblCellMar>
        <w:tblLook w:val="0420" w:firstRow="1" w:lastRow="0" w:firstColumn="0" w:lastColumn="0" w:noHBand="0" w:noVBand="1"/>
      </w:tblPr>
      <w:tblGrid>
        <w:gridCol w:w="3114"/>
        <w:gridCol w:w="1583"/>
      </w:tblGrid>
      <w:tr w:rsidR="00FC3225" w:rsidRPr="0002174D" w:rsidTr="00A41CDA">
        <w:trPr>
          <w:trHeight w:val="510"/>
        </w:trPr>
        <w:tc>
          <w:tcPr>
            <w:tcW w:w="311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Characteristics</w:t>
            </w:r>
          </w:p>
        </w:tc>
        <w:tc>
          <w:tcPr>
            <w:tcW w:w="158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5"/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Total (%)</w:t>
            </w:r>
          </w:p>
        </w:tc>
      </w:tr>
      <w:tr w:rsidR="00FC3225" w:rsidRPr="0002174D" w:rsidTr="00A41CDA">
        <w:trPr>
          <w:trHeight w:val="510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B8CCE4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Systemic Pathology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B8CCE4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Idiopathic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B51F86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18</w:t>
            </w:r>
            <w:r w:rsidR="00FC3225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(</w:t>
            </w:r>
            <w:r w:rsidR="00DC5F8E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38.</w:t>
            </w: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="00FC3225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Latent Tuberculosis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DC5F8E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r w:rsidR="00FC3225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(</w:t>
            </w: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14.9</w:t>
            </w:r>
            <w:r w:rsidR="00FC3225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Sarcoidosis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DC5F8E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6 (12.</w:t>
            </w:r>
            <w:r w:rsidR="00FC3225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8)</w:t>
            </w: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Arthritis/</w:t>
            </w:r>
            <w:proofErr w:type="spell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Spondyloarthritis</w:t>
            </w:r>
            <w:proofErr w:type="spellEnd"/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DC5F8E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10 (21.</w:t>
            </w:r>
            <w:r w:rsidR="00FC3225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3)</w:t>
            </w: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Behçet</w:t>
            </w:r>
            <w:proofErr w:type="spellEnd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Disease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DC5F8E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4 (8.5</w:t>
            </w:r>
            <w:r w:rsidR="00FC3225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</w:tr>
      <w:tr w:rsidR="00DC5F8E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5F8E" w:rsidRPr="0002174D" w:rsidRDefault="00DC5F8E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Harada Disease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5F8E" w:rsidRPr="0002174D" w:rsidRDefault="00DC5F8E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 (2.1)</w:t>
            </w:r>
          </w:p>
        </w:tc>
      </w:tr>
      <w:tr w:rsidR="00DC5F8E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5F8E" w:rsidRPr="0002174D" w:rsidRDefault="00DC5F8E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Lymphoma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5F8E" w:rsidRPr="0002174D" w:rsidRDefault="00DC5F8E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 (2.1)</w:t>
            </w:r>
          </w:p>
        </w:tc>
      </w:tr>
      <w:tr w:rsidR="00FC3225" w:rsidRPr="0002174D" w:rsidTr="00A41CDA">
        <w:trPr>
          <w:trHeight w:val="510"/>
        </w:trPr>
        <w:tc>
          <w:tcPr>
            <w:tcW w:w="3114" w:type="dxa"/>
            <w:shd w:val="clear" w:color="auto" w:fill="B8CCE4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Uveitis Primary Site</w:t>
            </w:r>
          </w:p>
        </w:tc>
        <w:tc>
          <w:tcPr>
            <w:tcW w:w="1583" w:type="dxa"/>
            <w:shd w:val="clear" w:color="auto" w:fill="B8CCE4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Anterior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="00DC5F8E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 (44.</w:t>
            </w: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7)</w:t>
            </w: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Intermediate</w:t>
            </w:r>
          </w:p>
        </w:tc>
        <w:tc>
          <w:tcPr>
            <w:tcW w:w="1583" w:type="dxa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2 (4</w:t>
            </w:r>
            <w:r w:rsidR="00DC5F8E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3)</w:t>
            </w: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Posterior</w:t>
            </w:r>
          </w:p>
        </w:tc>
        <w:tc>
          <w:tcPr>
            <w:tcW w:w="1583" w:type="dxa"/>
            <w:vAlign w:val="center"/>
          </w:tcPr>
          <w:p w:rsidR="00FC3225" w:rsidRPr="0002174D" w:rsidRDefault="00DC5F8E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15 (31.</w:t>
            </w:r>
            <w:r w:rsidR="00FC3225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9)</w:t>
            </w: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Panuveitis</w:t>
            </w:r>
            <w:proofErr w:type="spellEnd"/>
          </w:p>
        </w:tc>
        <w:tc>
          <w:tcPr>
            <w:tcW w:w="1583" w:type="dxa"/>
            <w:vAlign w:val="center"/>
          </w:tcPr>
          <w:p w:rsidR="00FC3225" w:rsidRPr="0002174D" w:rsidRDefault="00DC5F8E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9 (19.</w:t>
            </w:r>
            <w:r w:rsidR="00FC3225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1)</w:t>
            </w:r>
          </w:p>
        </w:tc>
      </w:tr>
      <w:tr w:rsidR="00FC3225" w:rsidRPr="0002174D" w:rsidTr="00A41CDA">
        <w:trPr>
          <w:trHeight w:val="510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B8CCE4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Injection Indication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B8CCE4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Macular edema</w:t>
            </w:r>
          </w:p>
        </w:tc>
        <w:tc>
          <w:tcPr>
            <w:tcW w:w="1583" w:type="dxa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="00DC5F8E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4 (51.1</w:t>
            </w: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Vitritis</w:t>
            </w:r>
            <w:proofErr w:type="spellEnd"/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DC5F8E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13 (27.7</w:t>
            </w:r>
            <w:r w:rsidR="00FC3225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</w:tr>
      <w:tr w:rsidR="00FC3225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FC3225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Vitritis</w:t>
            </w:r>
            <w:proofErr w:type="spellEnd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+ macular edema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C3225" w:rsidRPr="0002174D" w:rsidRDefault="00FC3225" w:rsidP="00A41CDA">
            <w:pPr>
              <w:keepNext/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5 (10</w:t>
            </w:r>
            <w:r w:rsidR="00DC5F8E"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6)</w:t>
            </w:r>
          </w:p>
        </w:tc>
      </w:tr>
      <w:tr w:rsidR="00DC5F8E" w:rsidRPr="0002174D" w:rsidTr="00A41CDA">
        <w:trPr>
          <w:trHeight w:val="397"/>
        </w:trPr>
        <w:tc>
          <w:tcPr>
            <w:tcW w:w="311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5F8E" w:rsidRPr="0002174D" w:rsidRDefault="00DC5F8E" w:rsidP="00A41CDA">
            <w:pPr>
              <w:tabs>
                <w:tab w:val="left" w:pos="3480"/>
              </w:tabs>
              <w:ind w:left="284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Spare Systemic CCT</w:t>
            </w:r>
          </w:p>
        </w:tc>
        <w:tc>
          <w:tcPr>
            <w:tcW w:w="158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C5F8E" w:rsidRPr="0002174D" w:rsidRDefault="00DC5F8E" w:rsidP="00A41CDA">
            <w:pPr>
              <w:keepNext/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5 (10.6)</w:t>
            </w:r>
          </w:p>
        </w:tc>
      </w:tr>
    </w:tbl>
    <w:p w:rsidR="00B1279E" w:rsidRPr="0002174D" w:rsidRDefault="00DC5F8E" w:rsidP="00DC5F8E">
      <w:pPr>
        <w:rPr>
          <w:rFonts w:asciiTheme="minorHAnsi" w:hAnsiTheme="minorHAnsi"/>
          <w:sz w:val="22"/>
          <w:szCs w:val="22"/>
        </w:rPr>
      </w:pPr>
      <w:r w:rsidRPr="0002174D">
        <w:rPr>
          <w:rFonts w:asciiTheme="minorHAnsi" w:hAnsiTheme="minorHAnsi"/>
          <w:sz w:val="22"/>
          <w:szCs w:val="22"/>
        </w:rPr>
        <w:t xml:space="preserve">Table 1. Characteristics at Baseline. CCT </w:t>
      </w:r>
      <w:r w:rsidR="00A41CDA" w:rsidRPr="0002174D">
        <w:rPr>
          <w:rFonts w:asciiTheme="minorHAnsi" w:hAnsiTheme="minorHAnsi"/>
          <w:sz w:val="22"/>
          <w:szCs w:val="22"/>
        </w:rPr>
        <w:t>–</w:t>
      </w:r>
      <w:r w:rsidRPr="0002174D">
        <w:rPr>
          <w:rFonts w:asciiTheme="minorHAnsi" w:hAnsiTheme="minorHAnsi"/>
          <w:sz w:val="22"/>
          <w:szCs w:val="22"/>
        </w:rPr>
        <w:t xml:space="preserve"> corticosteroids</w:t>
      </w:r>
    </w:p>
    <w:p w:rsidR="00A41CDA" w:rsidRPr="0002174D" w:rsidRDefault="00A41CDA" w:rsidP="00DC5F8E">
      <w:pPr>
        <w:rPr>
          <w:rFonts w:asciiTheme="minorHAnsi" w:hAnsiTheme="minorHAnsi"/>
          <w:sz w:val="22"/>
          <w:szCs w:val="22"/>
        </w:rPr>
      </w:pPr>
    </w:p>
    <w:p w:rsidR="00A41CDA" w:rsidRPr="0002174D" w:rsidRDefault="00A41CDA" w:rsidP="00DC5F8E">
      <w:pPr>
        <w:rPr>
          <w:rFonts w:asciiTheme="minorHAnsi" w:hAnsiTheme="minorHAnsi"/>
          <w:sz w:val="22"/>
          <w:szCs w:val="22"/>
        </w:rPr>
      </w:pPr>
    </w:p>
    <w:p w:rsidR="00A41CDA" w:rsidRPr="0002174D" w:rsidRDefault="00A41C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/>
          <w:sz w:val="22"/>
          <w:szCs w:val="22"/>
        </w:rPr>
      </w:pPr>
      <w:r w:rsidRPr="0002174D">
        <w:rPr>
          <w:rFonts w:asciiTheme="minorHAnsi" w:hAnsiTheme="minorHAnsi"/>
          <w:sz w:val="22"/>
          <w:szCs w:val="22"/>
        </w:rPr>
        <w:br w:type="page"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CellMar>
          <w:left w:w="113" w:type="dxa"/>
          <w:right w:w="0" w:type="dxa"/>
        </w:tblCellMar>
        <w:tblLook w:val="0420" w:firstRow="1" w:lastRow="0" w:firstColumn="0" w:lastColumn="0" w:noHBand="0" w:noVBand="1"/>
      </w:tblPr>
      <w:tblGrid>
        <w:gridCol w:w="1559"/>
        <w:gridCol w:w="284"/>
        <w:gridCol w:w="1275"/>
        <w:gridCol w:w="426"/>
        <w:gridCol w:w="142"/>
        <w:gridCol w:w="2126"/>
        <w:gridCol w:w="1418"/>
      </w:tblGrid>
      <w:tr w:rsidR="00A41CDA" w:rsidRPr="0002174D" w:rsidTr="00A41CDA">
        <w:trPr>
          <w:trHeight w:val="510"/>
        </w:trPr>
        <w:tc>
          <w:tcPr>
            <w:tcW w:w="184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lastRenderedPageBreak/>
              <w:t>Characteristics</w:t>
            </w:r>
          </w:p>
        </w:tc>
        <w:tc>
          <w:tcPr>
            <w:tcW w:w="1843" w:type="dxa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Pre-injection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ind w:left="5"/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Post-injection</w:t>
            </w:r>
          </w:p>
        </w:tc>
        <w:tc>
          <w:tcPr>
            <w:tcW w:w="14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ind w:left="5"/>
              <w:jc w:val="center"/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p</w:t>
            </w:r>
          </w:p>
        </w:tc>
      </w:tr>
      <w:tr w:rsidR="00A41CDA" w:rsidRPr="0002174D" w:rsidTr="00A41CDA">
        <w:trPr>
          <w:trHeight w:val="510"/>
        </w:trPr>
        <w:tc>
          <w:tcPr>
            <w:tcW w:w="3118" w:type="dxa"/>
            <w:gridSpan w:val="3"/>
            <w:tcBorders>
              <w:left w:val="nil"/>
              <w:right w:val="nil"/>
            </w:tcBorders>
            <w:shd w:val="clear" w:color="auto" w:fill="B8CCE4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BCVA (n=47)</w:t>
            </w:r>
          </w:p>
        </w:tc>
        <w:tc>
          <w:tcPr>
            <w:tcW w:w="2694" w:type="dxa"/>
            <w:gridSpan w:val="3"/>
            <w:tcBorders>
              <w:left w:val="nil"/>
              <w:right w:val="nil"/>
            </w:tcBorders>
            <w:shd w:val="clear" w:color="auto" w:fill="B8CCE4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B8CCE4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41CDA" w:rsidRPr="0002174D" w:rsidTr="00A41CDA">
        <w:trPr>
          <w:trHeight w:val="397"/>
        </w:trPr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ind w:left="284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ind w:left="284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0,60 [0,30; 1,00]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0,50 [0,16; 0,90]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0,103</w:t>
            </w:r>
          </w:p>
        </w:tc>
      </w:tr>
      <w:tr w:rsidR="00A41CDA" w:rsidRPr="0002174D" w:rsidTr="00A41CDA">
        <w:trPr>
          <w:trHeight w:val="510"/>
        </w:trPr>
        <w:tc>
          <w:tcPr>
            <w:tcW w:w="3118" w:type="dxa"/>
            <w:gridSpan w:val="3"/>
            <w:shd w:val="clear" w:color="auto" w:fill="B8CCE4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IOP (n=47)</w:t>
            </w:r>
          </w:p>
        </w:tc>
        <w:tc>
          <w:tcPr>
            <w:tcW w:w="2694" w:type="dxa"/>
            <w:gridSpan w:val="3"/>
            <w:shd w:val="clear" w:color="auto" w:fill="B8CCE4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B8CCE4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41CDA" w:rsidRPr="0002174D" w:rsidTr="00A41CDA">
        <w:trPr>
          <w:trHeight w:val="397"/>
        </w:trPr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ind w:left="284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ind w:left="284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14 [11; 17]</w:t>
            </w:r>
          </w:p>
        </w:tc>
        <w:tc>
          <w:tcPr>
            <w:tcW w:w="2694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17 [13; 21]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&lt;0,001</w:t>
            </w:r>
          </w:p>
        </w:tc>
      </w:tr>
      <w:tr w:rsidR="00A41CDA" w:rsidRPr="0002174D" w:rsidTr="00A41CDA">
        <w:trPr>
          <w:trHeight w:val="510"/>
        </w:trPr>
        <w:tc>
          <w:tcPr>
            <w:tcW w:w="5812" w:type="dxa"/>
            <w:gridSpan w:val="6"/>
            <w:tcBorders>
              <w:left w:val="nil"/>
              <w:right w:val="nil"/>
            </w:tcBorders>
            <w:shd w:val="clear" w:color="auto" w:fill="B8CCE4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Number of anti-hypertensive drugs (n=47)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B8CCE4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41CDA" w:rsidRPr="0002174D" w:rsidTr="00A41CDA">
        <w:trPr>
          <w:trHeight w:val="397"/>
        </w:trPr>
        <w:tc>
          <w:tcPr>
            <w:tcW w:w="1559" w:type="dxa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ind w:left="284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44 (93</w:t>
            </w:r>
            <w:proofErr w:type="gram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,6</w:t>
            </w:r>
            <w:proofErr w:type="gramEnd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2694" w:type="dxa"/>
            <w:gridSpan w:val="3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42 (89</w:t>
            </w:r>
            <w:proofErr w:type="gram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,4</w:t>
            </w:r>
            <w:proofErr w:type="gramEnd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18" w:type="dxa"/>
            <w:vMerge w:val="restart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0,157</w:t>
            </w:r>
          </w:p>
        </w:tc>
      </w:tr>
      <w:tr w:rsidR="00A41CDA" w:rsidRPr="0002174D" w:rsidTr="00A41CDA">
        <w:trPr>
          <w:trHeight w:val="397"/>
        </w:trPr>
        <w:tc>
          <w:tcPr>
            <w:tcW w:w="1559" w:type="dxa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ind w:left="284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 (2</w:t>
            </w:r>
            <w:proofErr w:type="gram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,1</w:t>
            </w:r>
            <w:proofErr w:type="gramEnd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2694" w:type="dxa"/>
            <w:gridSpan w:val="3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3 (6</w:t>
            </w:r>
            <w:proofErr w:type="gram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,4</w:t>
            </w:r>
            <w:proofErr w:type="gramEnd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18" w:type="dxa"/>
            <w:vMerge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41CDA" w:rsidRPr="0002174D" w:rsidTr="00A41CDA">
        <w:trPr>
          <w:trHeight w:val="397"/>
        </w:trPr>
        <w:tc>
          <w:tcPr>
            <w:tcW w:w="1559" w:type="dxa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ind w:left="284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 (2</w:t>
            </w:r>
            <w:proofErr w:type="gram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,1</w:t>
            </w:r>
            <w:proofErr w:type="gramEnd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2694" w:type="dxa"/>
            <w:gridSpan w:val="3"/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 (2</w:t>
            </w:r>
            <w:proofErr w:type="gram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,1</w:t>
            </w:r>
            <w:proofErr w:type="gramEnd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41CDA" w:rsidRPr="0002174D" w:rsidTr="00A41CDA">
        <w:trPr>
          <w:trHeight w:val="397"/>
        </w:trPr>
        <w:tc>
          <w:tcPr>
            <w:tcW w:w="1559" w:type="dxa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ind w:left="284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 (2</w:t>
            </w:r>
            <w:proofErr w:type="gram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,1</w:t>
            </w:r>
            <w:proofErr w:type="gramEnd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2694" w:type="dxa"/>
            <w:gridSpan w:val="3"/>
            <w:shd w:val="clear" w:color="auto" w:fill="FFFFFF"/>
            <w:vAlign w:val="center"/>
          </w:tcPr>
          <w:p w:rsidR="00A41CDA" w:rsidRPr="0002174D" w:rsidRDefault="00A41CDA" w:rsidP="00A41CDA">
            <w:pPr>
              <w:keepNext/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1 (2</w:t>
            </w:r>
            <w:proofErr w:type="gramStart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,1</w:t>
            </w:r>
            <w:proofErr w:type="gramEnd"/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41CDA" w:rsidRPr="0002174D" w:rsidRDefault="00A41CDA" w:rsidP="00A41CDA">
            <w:pPr>
              <w:keepNext/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41CDA" w:rsidRPr="0002174D" w:rsidTr="00A41CDA">
        <w:trPr>
          <w:trHeight w:val="397"/>
        </w:trPr>
        <w:tc>
          <w:tcPr>
            <w:tcW w:w="5812" w:type="dxa"/>
            <w:gridSpan w:val="6"/>
            <w:shd w:val="clear" w:color="auto" w:fill="B8CCE4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Macular Thickness (n=22)</w:t>
            </w:r>
          </w:p>
        </w:tc>
        <w:tc>
          <w:tcPr>
            <w:tcW w:w="1418" w:type="dxa"/>
            <w:shd w:val="clear" w:color="auto" w:fill="B8CCE4"/>
            <w:vAlign w:val="center"/>
          </w:tcPr>
          <w:p w:rsidR="00A41CDA" w:rsidRPr="0002174D" w:rsidRDefault="00A41CDA" w:rsidP="00A41CDA">
            <w:pPr>
              <w:keepNext/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41CDA" w:rsidRPr="0002174D" w:rsidTr="00A41CDA">
        <w:trPr>
          <w:trHeight w:val="397"/>
        </w:trPr>
        <w:tc>
          <w:tcPr>
            <w:tcW w:w="1559" w:type="dxa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354,50 [287; 556]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color w:val="000000"/>
                <w:sz w:val="22"/>
                <w:szCs w:val="22"/>
              </w:rPr>
              <w:t>279,50 [227,25; 354,75]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41CDA" w:rsidRPr="0002174D" w:rsidRDefault="00A41CDA" w:rsidP="00A41CDA">
            <w:pPr>
              <w:tabs>
                <w:tab w:val="left" w:pos="3480"/>
              </w:tabs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02174D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&lt;0,001</w:t>
            </w:r>
          </w:p>
        </w:tc>
      </w:tr>
    </w:tbl>
    <w:p w:rsidR="00A41CDA" w:rsidRPr="0002174D" w:rsidRDefault="00EC2442" w:rsidP="00DC5F8E">
      <w:pPr>
        <w:rPr>
          <w:rFonts w:asciiTheme="minorHAnsi" w:hAnsiTheme="minorHAnsi"/>
          <w:sz w:val="22"/>
          <w:szCs w:val="22"/>
        </w:rPr>
      </w:pPr>
      <w:r w:rsidRPr="0002174D">
        <w:rPr>
          <w:rFonts w:asciiTheme="minorHAnsi" w:hAnsiTheme="minorHAnsi"/>
          <w:sz w:val="22"/>
          <w:szCs w:val="22"/>
        </w:rPr>
        <w:t xml:space="preserve">Table 2. </w:t>
      </w:r>
      <w:r w:rsidR="002C7107" w:rsidRPr="0002174D">
        <w:rPr>
          <w:rFonts w:asciiTheme="minorHAnsi" w:hAnsiTheme="minorHAnsi"/>
          <w:sz w:val="22"/>
          <w:szCs w:val="22"/>
        </w:rPr>
        <w:t>Comparison of some clinical characteristics before and after injection. BCVA – Best Corrected Visual Acuity; IOP – Intraocular Pressure</w:t>
      </w:r>
    </w:p>
    <w:p w:rsidR="0002174D" w:rsidRPr="0002174D" w:rsidRDefault="0002174D" w:rsidP="00DC5F8E">
      <w:pPr>
        <w:rPr>
          <w:rFonts w:asciiTheme="minorHAnsi" w:hAnsiTheme="minorHAnsi"/>
          <w:sz w:val="22"/>
          <w:szCs w:val="22"/>
        </w:rPr>
      </w:pPr>
    </w:p>
    <w:p w:rsidR="0002174D" w:rsidRPr="0002174D" w:rsidRDefault="00021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/>
          <w:sz w:val="22"/>
          <w:szCs w:val="22"/>
        </w:rPr>
      </w:pPr>
      <w:r w:rsidRPr="0002174D">
        <w:rPr>
          <w:rFonts w:asciiTheme="minorHAnsi" w:hAnsiTheme="minorHAnsi"/>
          <w:sz w:val="22"/>
          <w:szCs w:val="22"/>
        </w:rPr>
        <w:br w:type="page"/>
      </w:r>
    </w:p>
    <w:p w:rsidR="00B5313C" w:rsidRDefault="00B5313C" w:rsidP="00B531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Theme="minorHAnsi"/>
          <w:bdr w:val="none" w:sz="0" w:space="0" w:color="auto"/>
          <w:lang w:val="pt-PT"/>
        </w:rPr>
      </w:pPr>
      <w:r>
        <w:rPr>
          <w:rFonts w:eastAsiaTheme="minorHAnsi"/>
          <w:noProof/>
          <w:bdr w:val="none" w:sz="0" w:space="0" w:color="auto"/>
          <w:lang w:val="pt-PT" w:eastAsia="pt-PT"/>
        </w:rPr>
        <w:lastRenderedPageBreak/>
        <w:drawing>
          <wp:inline distT="0" distB="0" distL="0" distR="0">
            <wp:extent cx="5972175" cy="47815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313C" w:rsidRDefault="00B5313C" w:rsidP="00B531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Theme="minorHAnsi"/>
          <w:bdr w:val="none" w:sz="0" w:space="0" w:color="auto"/>
          <w:lang w:val="pt-PT"/>
        </w:rPr>
      </w:pPr>
    </w:p>
    <w:p w:rsidR="00B5313C" w:rsidRDefault="00B5313C" w:rsidP="00B531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00" w:lineRule="atLeast"/>
        <w:rPr>
          <w:rFonts w:eastAsiaTheme="minorHAnsi"/>
          <w:bdr w:val="none" w:sz="0" w:space="0" w:color="auto"/>
          <w:lang w:val="pt-PT"/>
        </w:rPr>
      </w:pPr>
    </w:p>
    <w:p w:rsidR="0002174D" w:rsidRDefault="0002174D" w:rsidP="00DC5F8E">
      <w:r w:rsidRPr="0002174D">
        <w:rPr>
          <w:rFonts w:asciiTheme="minorHAnsi" w:hAnsiTheme="minorHAnsi"/>
          <w:sz w:val="22"/>
          <w:szCs w:val="22"/>
        </w:rPr>
        <w:t xml:space="preserve">Figure 1. </w:t>
      </w:r>
      <w:r w:rsidRPr="0002174D">
        <w:rPr>
          <w:rFonts w:asciiTheme="minorHAnsi" w:hAnsiTheme="minorHAnsi"/>
          <w:sz w:val="22"/>
          <w:szCs w:val="22"/>
          <w:lang w:eastAsia="pt-PT"/>
        </w:rPr>
        <w:t>Kaplan-Meier estimation of global i</w:t>
      </w:r>
      <w:r w:rsidRPr="00B5313C">
        <w:rPr>
          <w:rFonts w:asciiTheme="minorHAnsi" w:hAnsiTheme="minorHAnsi"/>
          <w:sz w:val="22"/>
          <w:szCs w:val="22"/>
          <w:lang w:eastAsia="pt-PT"/>
        </w:rPr>
        <w:t xml:space="preserve">ncidence of need of second </w:t>
      </w:r>
      <w:r w:rsidR="00B5313C" w:rsidRPr="00B5313C">
        <w:rPr>
          <w:rFonts w:asciiTheme="minorHAnsi" w:hAnsiTheme="minorHAnsi"/>
          <w:sz w:val="22"/>
          <w:szCs w:val="22"/>
          <w:lang w:eastAsia="pt-PT"/>
        </w:rPr>
        <w:t>ST TA injection</w:t>
      </w:r>
      <w:r w:rsidRPr="00B5313C">
        <w:rPr>
          <w:rFonts w:ascii="Calibri" w:hAnsi="Calibri"/>
          <w:sz w:val="22"/>
          <w:szCs w:val="22"/>
          <w:lang w:eastAsia="pt-PT"/>
        </w:rPr>
        <w:t>.</w:t>
      </w:r>
      <w:r w:rsidR="00B5313C" w:rsidRPr="00B5313C">
        <w:rPr>
          <w:rFonts w:ascii="Calibri" w:hAnsi="Calibri"/>
          <w:sz w:val="22"/>
          <w:szCs w:val="22"/>
          <w:lang w:eastAsia="pt-PT"/>
        </w:rPr>
        <w:t xml:space="preserve"> ST TA – Sub-</w:t>
      </w:r>
      <w:proofErr w:type="spellStart"/>
      <w:r w:rsidR="00B5313C" w:rsidRPr="00B5313C">
        <w:rPr>
          <w:rFonts w:ascii="Calibri" w:hAnsi="Calibri"/>
          <w:sz w:val="22"/>
          <w:szCs w:val="22"/>
          <w:lang w:eastAsia="pt-PT"/>
        </w:rPr>
        <w:t>tenon’s</w:t>
      </w:r>
      <w:proofErr w:type="spellEnd"/>
      <w:r w:rsidR="00B5313C" w:rsidRPr="00B5313C">
        <w:rPr>
          <w:rFonts w:ascii="Calibri" w:hAnsi="Calibri"/>
          <w:sz w:val="22"/>
          <w:szCs w:val="22"/>
          <w:lang w:eastAsia="pt-PT"/>
        </w:rPr>
        <w:t xml:space="preserve"> </w:t>
      </w:r>
      <w:proofErr w:type="spellStart"/>
      <w:r w:rsidR="00B5313C" w:rsidRPr="00B5313C">
        <w:rPr>
          <w:rFonts w:ascii="Calibri" w:hAnsi="Calibri"/>
          <w:sz w:val="22"/>
          <w:szCs w:val="22"/>
          <w:lang w:eastAsia="pt-PT"/>
        </w:rPr>
        <w:t>Triamcinole</w:t>
      </w:r>
      <w:proofErr w:type="spellEnd"/>
      <w:r w:rsidR="00B5313C" w:rsidRPr="00B5313C">
        <w:rPr>
          <w:rFonts w:ascii="Calibri" w:hAnsi="Calibri"/>
          <w:sz w:val="22"/>
          <w:szCs w:val="22"/>
          <w:lang w:eastAsia="pt-PT"/>
        </w:rPr>
        <w:t xml:space="preserve"> </w:t>
      </w:r>
      <w:proofErr w:type="spellStart"/>
      <w:r w:rsidR="00B5313C" w:rsidRPr="00B5313C">
        <w:rPr>
          <w:rFonts w:ascii="Calibri" w:hAnsi="Calibri"/>
          <w:sz w:val="22"/>
          <w:szCs w:val="22"/>
          <w:lang w:eastAsia="pt-PT"/>
        </w:rPr>
        <w:t>Acetonide</w:t>
      </w:r>
      <w:proofErr w:type="spellEnd"/>
    </w:p>
    <w:sectPr w:rsidR="00021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25"/>
    <w:rsid w:val="0002174D"/>
    <w:rsid w:val="002C7107"/>
    <w:rsid w:val="00A41CDA"/>
    <w:rsid w:val="00B1279E"/>
    <w:rsid w:val="00B51F86"/>
    <w:rsid w:val="00B5313C"/>
    <w:rsid w:val="00BD6DAC"/>
    <w:rsid w:val="00DC5F8E"/>
    <w:rsid w:val="00EC2442"/>
    <w:rsid w:val="00F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8A23A-D036-42A3-99CA-2BA6B986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32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FC322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Ferreira</dc:creator>
  <cp:keywords/>
  <dc:description/>
  <cp:lastModifiedBy>Carla Ferreira</cp:lastModifiedBy>
  <cp:revision>4</cp:revision>
  <dcterms:created xsi:type="dcterms:W3CDTF">2015-09-13T09:40:00Z</dcterms:created>
  <dcterms:modified xsi:type="dcterms:W3CDTF">2015-09-13T22:08:00Z</dcterms:modified>
</cp:coreProperties>
</file>