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page" w:horzAnchor="margin" w:tblpY="321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929"/>
        <w:gridCol w:w="912"/>
        <w:gridCol w:w="2685"/>
        <w:gridCol w:w="817"/>
        <w:gridCol w:w="848"/>
      </w:tblGrid>
      <w:tr w:rsidR="00EA26F8" w:rsidTr="004E1EA4">
        <w:tc>
          <w:tcPr>
            <w:tcW w:w="8720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A26F8" w:rsidRPr="00D30252" w:rsidRDefault="00EA26F8" w:rsidP="004E1E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Lesões tumor-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 tumores </w:t>
            </w:r>
            <w:r w:rsidRPr="00D30252">
              <w:rPr>
                <w:rFonts w:ascii="Times New Roman" w:hAnsi="Times New Roman" w:cs="Times New Roman"/>
                <w:b/>
              </w:rPr>
              <w:t>benignos, malignos e pré-malignos</w:t>
            </w:r>
          </w:p>
        </w:tc>
      </w:tr>
      <w:tr w:rsidR="00EA26F8" w:rsidTr="004E1EA4">
        <w:trPr>
          <w:trHeight w:val="316"/>
        </w:trPr>
        <w:tc>
          <w:tcPr>
            <w:tcW w:w="8720" w:type="dxa"/>
            <w:gridSpan w:val="6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EA26F8" w:rsidRPr="00D30252" w:rsidRDefault="00EA26F8" w:rsidP="004E1E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252">
              <w:rPr>
                <w:rFonts w:ascii="Times New Roman" w:hAnsi="Times New Roman" w:cs="Times New Roman"/>
                <w:b/>
              </w:rPr>
              <w:t>Tumores Benignos</w:t>
            </w:r>
          </w:p>
        </w:tc>
      </w:tr>
      <w:tr w:rsidR="00EA26F8" w:rsidTr="004E1EA4">
        <w:tc>
          <w:tcPr>
            <w:tcW w:w="25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A26F8" w:rsidRPr="00D30252" w:rsidRDefault="00EA26F8" w:rsidP="004E1E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252">
              <w:rPr>
                <w:rFonts w:ascii="Times New Roman" w:hAnsi="Times New Roman" w:cs="Times New Roman"/>
                <w:b/>
              </w:rPr>
              <w:t>Tipo de tumor</w:t>
            </w:r>
          </w:p>
        </w:tc>
        <w:tc>
          <w:tcPr>
            <w:tcW w:w="9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A26F8" w:rsidRPr="00D30252" w:rsidRDefault="00EA26F8" w:rsidP="004E1E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gramStart"/>
            <w:r w:rsidRPr="00D30252">
              <w:rPr>
                <w:rFonts w:ascii="Times New Roman" w:hAnsi="Times New Roman" w:cs="Times New Roman"/>
                <w:b/>
              </w:rPr>
              <w:t>n</w:t>
            </w:r>
            <w:proofErr w:type="gramEnd"/>
          </w:p>
        </w:tc>
        <w:tc>
          <w:tcPr>
            <w:tcW w:w="9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A26F8" w:rsidRPr="00D30252" w:rsidRDefault="00EA26F8" w:rsidP="004E1E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D30252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A26F8" w:rsidRPr="00D30252" w:rsidRDefault="00EA26F8" w:rsidP="004E1E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252">
              <w:rPr>
                <w:rFonts w:ascii="Times New Roman" w:hAnsi="Times New Roman" w:cs="Times New Roman"/>
                <w:b/>
              </w:rPr>
              <w:t>Tipo de tumor</w:t>
            </w:r>
          </w:p>
        </w:tc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A26F8" w:rsidRPr="00D30252" w:rsidRDefault="00EA26F8" w:rsidP="004E1E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gramStart"/>
            <w:r w:rsidRPr="00D30252">
              <w:rPr>
                <w:rFonts w:ascii="Times New Roman" w:hAnsi="Times New Roman" w:cs="Times New Roman"/>
                <w:b/>
              </w:rPr>
              <w:t>n</w:t>
            </w:r>
            <w:proofErr w:type="gramEnd"/>
          </w:p>
        </w:tc>
        <w:tc>
          <w:tcPr>
            <w:tcW w:w="8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A26F8" w:rsidRPr="00D30252" w:rsidRDefault="00EA26F8" w:rsidP="004E1E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D30252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EA26F8" w:rsidTr="004E1EA4">
        <w:tc>
          <w:tcPr>
            <w:tcW w:w="2529" w:type="dxa"/>
            <w:tcBorders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apiloma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escamoso</w:t>
            </w:r>
          </w:p>
        </w:tc>
        <w:tc>
          <w:tcPr>
            <w:tcW w:w="929" w:type="dxa"/>
            <w:tcBorders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912" w:type="dxa"/>
            <w:tcBorders>
              <w:bottom w:val="nil"/>
            </w:tcBorders>
          </w:tcPr>
          <w:p w:rsidR="00EA26F8" w:rsidRPr="009E4E64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E4E6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685" w:type="dxa"/>
            <w:tcBorders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iringoma</w:t>
            </w:r>
            <w:proofErr w:type="spellEnd"/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7" w:type="dxa"/>
            <w:tcBorders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8" w:type="dxa"/>
            <w:tcBorders>
              <w:bottom w:val="nil"/>
            </w:tcBorders>
          </w:tcPr>
          <w:p w:rsidR="00EA26F8" w:rsidRPr="00CB3389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CB3389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evus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melatocítico</w:t>
            </w:r>
            <w:proofErr w:type="spellEnd"/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9E4E64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13,4</w:t>
            </w:r>
          </w:p>
        </w:tc>
        <w:tc>
          <w:tcPr>
            <w:tcW w:w="2685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ueratose folicular inversa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A26F8" w:rsidRPr="00CB3389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CB3389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Chalá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zio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9E4E64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10,4</w:t>
            </w:r>
          </w:p>
        </w:tc>
        <w:tc>
          <w:tcPr>
            <w:tcW w:w="2685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Hiperplasia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linfó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ide</w:t>
            </w:r>
            <w:proofErr w:type="spellEnd"/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 benigna 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A26F8" w:rsidRPr="00CB3389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CB3389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Quisto sebá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ceo 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9E4E64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9,5</w:t>
            </w:r>
          </w:p>
        </w:tc>
        <w:tc>
          <w:tcPr>
            <w:tcW w:w="2685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amartoma</w:t>
            </w:r>
            <w:proofErr w:type="spellEnd"/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A26F8" w:rsidRPr="00CB3389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CB3389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antelasma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9E4E64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7,3</w:t>
            </w:r>
          </w:p>
        </w:tc>
        <w:tc>
          <w:tcPr>
            <w:tcW w:w="2685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Hordé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olo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A26F8" w:rsidRPr="00CB3389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CB3389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idrocistoma</w:t>
            </w:r>
            <w:proofErr w:type="spellEnd"/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9E4E64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6,5</w:t>
            </w:r>
          </w:p>
        </w:tc>
        <w:tc>
          <w:tcPr>
            <w:tcW w:w="2685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elanose da conjuntiva 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A26F8" w:rsidRPr="00CB3389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CB3389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Quisto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epidermó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ide</w:t>
            </w:r>
            <w:proofErr w:type="spellEnd"/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9E4E64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4,1</w:t>
            </w:r>
          </w:p>
        </w:tc>
        <w:tc>
          <w:tcPr>
            <w:tcW w:w="2685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Adenoma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pleomó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rfico</w:t>
            </w:r>
            <w:proofErr w:type="spellEnd"/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A26F8" w:rsidRPr="00CB3389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&lt;</w:t>
            </w:r>
            <w:r w:rsidRPr="00CB3389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Granuloma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piogé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nico</w:t>
            </w:r>
            <w:proofErr w:type="spellEnd"/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9E4E64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4,0</w:t>
            </w:r>
          </w:p>
        </w:tc>
        <w:tc>
          <w:tcPr>
            <w:tcW w:w="2685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Hiperplasia sebácea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adenomatosa</w:t>
            </w:r>
            <w:proofErr w:type="spellEnd"/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A26F8" w:rsidRPr="00CB3389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&lt;</w:t>
            </w:r>
            <w:r w:rsidRPr="00CB3389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erruga </w:t>
            </w:r>
            <w:proofErr w:type="spellStart"/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vulgaris</w:t>
            </w:r>
            <w:proofErr w:type="spellEnd"/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9E4E64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3,0</w:t>
            </w:r>
          </w:p>
        </w:tc>
        <w:tc>
          <w:tcPr>
            <w:tcW w:w="2685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infangioma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A26F8" w:rsidRPr="00CB3389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&lt;</w:t>
            </w:r>
            <w:r w:rsidRPr="00CB3389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emangioma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9E4E64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2,3</w:t>
            </w:r>
          </w:p>
        </w:tc>
        <w:tc>
          <w:tcPr>
            <w:tcW w:w="2685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eurofibroma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A26F8" w:rsidRPr="00CB3389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&lt;</w:t>
            </w:r>
            <w:r w:rsidRPr="00CB3389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Quisto dermó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ide 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9E4E64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1,5</w:t>
            </w:r>
          </w:p>
        </w:tc>
        <w:tc>
          <w:tcPr>
            <w:tcW w:w="2685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uisto </w:t>
            </w:r>
            <w:proofErr w:type="spellStart"/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hemático</w:t>
            </w:r>
            <w:proofErr w:type="spellEnd"/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A26F8" w:rsidRPr="00CB3389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&lt;</w:t>
            </w:r>
            <w:r w:rsidRPr="00CB3389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ueratose seborreica 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9E4E64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1,5</w:t>
            </w:r>
          </w:p>
        </w:tc>
        <w:tc>
          <w:tcPr>
            <w:tcW w:w="2685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Tumor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gló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mico</w:t>
            </w:r>
            <w:proofErr w:type="spellEnd"/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:rsidR="00EA26F8" w:rsidRPr="00CB3389" w:rsidRDefault="00EA26F8" w:rsidP="004E1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&lt;</w:t>
            </w:r>
            <w:r w:rsidRPr="00CB3389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ueratoacantoma</w:t>
            </w:r>
            <w:proofErr w:type="spellEnd"/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9E4E64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1,3</w:t>
            </w:r>
          </w:p>
        </w:tc>
        <w:tc>
          <w:tcPr>
            <w:tcW w:w="2685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ariz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A26F8" w:rsidRPr="00CB3389" w:rsidRDefault="00EA26F8" w:rsidP="004E1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&lt;</w:t>
            </w:r>
            <w:r w:rsidRPr="00CB3389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ricoepitelioma</w:t>
            </w:r>
            <w:proofErr w:type="spellEnd"/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9E4E64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1,2</w:t>
            </w:r>
          </w:p>
        </w:tc>
        <w:tc>
          <w:tcPr>
            <w:tcW w:w="2685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E85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6C72FF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72FF">
              <w:rPr>
                <w:rFonts w:ascii="Times New Roman" w:hAnsi="Times New Roman" w:cs="Times New Roman"/>
                <w:b/>
                <w:sz w:val="18"/>
                <w:szCs w:val="18"/>
              </w:rPr>
              <w:t>1240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A26F8" w:rsidRPr="006C72FF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72FF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</w:tr>
      <w:tr w:rsidR="00EA26F8" w:rsidTr="004E1EA4">
        <w:tc>
          <w:tcPr>
            <w:tcW w:w="2529" w:type="dxa"/>
            <w:tcBorders>
              <w:top w:val="nil"/>
              <w:bottom w:val="double" w:sz="4" w:space="0" w:color="auto"/>
            </w:tcBorders>
            <w:vAlign w:val="center"/>
          </w:tcPr>
          <w:p w:rsidR="00EA26F8" w:rsidRPr="00A25E85" w:rsidRDefault="00EA26F8" w:rsidP="004E1EA4">
            <w:pPr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olusco contagioso</w:t>
            </w:r>
          </w:p>
        </w:tc>
        <w:tc>
          <w:tcPr>
            <w:tcW w:w="929" w:type="dxa"/>
            <w:tcBorders>
              <w:top w:val="nil"/>
              <w:bottom w:val="double" w:sz="4" w:space="0" w:color="auto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12" w:type="dxa"/>
            <w:tcBorders>
              <w:top w:val="nil"/>
              <w:bottom w:val="double" w:sz="4" w:space="0" w:color="auto"/>
            </w:tcBorders>
          </w:tcPr>
          <w:p w:rsidR="00EA26F8" w:rsidRPr="009E4E64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1,2</w:t>
            </w:r>
          </w:p>
        </w:tc>
        <w:tc>
          <w:tcPr>
            <w:tcW w:w="2685" w:type="dxa"/>
            <w:tcBorders>
              <w:top w:val="nil"/>
              <w:bottom w:val="double" w:sz="4" w:space="0" w:color="auto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bottom w:val="double" w:sz="4" w:space="0" w:color="auto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bottom w:val="double" w:sz="4" w:space="0" w:color="auto"/>
            </w:tcBorders>
          </w:tcPr>
          <w:p w:rsidR="00EA26F8" w:rsidRPr="00CB3389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26F8" w:rsidRPr="008C3329" w:rsidTr="004E1EA4">
        <w:trPr>
          <w:trHeight w:val="399"/>
        </w:trPr>
        <w:tc>
          <w:tcPr>
            <w:tcW w:w="25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A26F8" w:rsidRPr="008C3329" w:rsidRDefault="00EA26F8" w:rsidP="004E1E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329">
              <w:rPr>
                <w:rFonts w:ascii="Times New Roman" w:hAnsi="Times New Roman" w:cs="Times New Roman"/>
                <w:b/>
              </w:rPr>
              <w:t>Tumores Malignos</w:t>
            </w:r>
          </w:p>
        </w:tc>
        <w:tc>
          <w:tcPr>
            <w:tcW w:w="929" w:type="dxa"/>
            <w:tcBorders>
              <w:top w:val="double" w:sz="4" w:space="0" w:color="auto"/>
              <w:bottom w:val="double" w:sz="4" w:space="0" w:color="auto"/>
            </w:tcBorders>
          </w:tcPr>
          <w:p w:rsidR="00EA26F8" w:rsidRPr="008C3329" w:rsidRDefault="00EA26F8" w:rsidP="004E1E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" w:type="dxa"/>
            <w:tcBorders>
              <w:top w:val="double" w:sz="4" w:space="0" w:color="auto"/>
              <w:bottom w:val="double" w:sz="4" w:space="0" w:color="auto"/>
            </w:tcBorders>
          </w:tcPr>
          <w:p w:rsidR="00EA26F8" w:rsidRPr="008C3329" w:rsidRDefault="00EA26F8" w:rsidP="004E1E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A26F8" w:rsidRPr="008C3329" w:rsidRDefault="00EA26F8" w:rsidP="004E1E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329">
              <w:rPr>
                <w:rFonts w:ascii="Times New Roman" w:hAnsi="Times New Roman" w:cs="Times New Roman"/>
                <w:b/>
              </w:rPr>
              <w:t>Lesões pré-malignas</w:t>
            </w: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</w:tcPr>
          <w:p w:rsidR="00EA26F8" w:rsidRPr="008C3329" w:rsidRDefault="00EA26F8" w:rsidP="004E1E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</w:tcBorders>
          </w:tcPr>
          <w:p w:rsidR="00EA26F8" w:rsidRPr="008C3329" w:rsidRDefault="00EA26F8" w:rsidP="004E1E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A26F8" w:rsidRPr="008C3329" w:rsidTr="004E1EA4">
        <w:tc>
          <w:tcPr>
            <w:tcW w:w="25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A26F8" w:rsidRPr="008C3329" w:rsidRDefault="00EA26F8" w:rsidP="004E1E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329">
              <w:rPr>
                <w:rFonts w:ascii="Times New Roman" w:hAnsi="Times New Roman" w:cs="Times New Roman"/>
                <w:b/>
              </w:rPr>
              <w:t>Tipo de tumor</w:t>
            </w:r>
          </w:p>
        </w:tc>
        <w:tc>
          <w:tcPr>
            <w:tcW w:w="9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A26F8" w:rsidRPr="008C3329" w:rsidRDefault="00EA26F8" w:rsidP="004E1E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gramStart"/>
            <w:r w:rsidRPr="008C3329">
              <w:rPr>
                <w:rFonts w:ascii="Times New Roman" w:hAnsi="Times New Roman" w:cs="Times New Roman"/>
                <w:b/>
              </w:rPr>
              <w:t>n</w:t>
            </w:r>
            <w:proofErr w:type="gramEnd"/>
          </w:p>
        </w:tc>
        <w:tc>
          <w:tcPr>
            <w:tcW w:w="9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A26F8" w:rsidRPr="008C3329" w:rsidRDefault="00EA26F8" w:rsidP="004E1E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8C332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685" w:type="dxa"/>
            <w:tcBorders>
              <w:top w:val="double" w:sz="4" w:space="0" w:color="auto"/>
              <w:bottom w:val="single" w:sz="4" w:space="0" w:color="auto"/>
            </w:tcBorders>
          </w:tcPr>
          <w:p w:rsidR="00EA26F8" w:rsidRPr="008C3329" w:rsidRDefault="00EA26F8" w:rsidP="004E1E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329">
              <w:rPr>
                <w:rFonts w:ascii="Times New Roman" w:hAnsi="Times New Roman" w:cs="Times New Roman"/>
                <w:b/>
              </w:rPr>
              <w:t>Tipo de tumor</w:t>
            </w:r>
          </w:p>
        </w:tc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</w:tcPr>
          <w:p w:rsidR="00EA26F8" w:rsidRPr="008C3329" w:rsidRDefault="00EA26F8" w:rsidP="004E1E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gramStart"/>
            <w:r w:rsidRPr="008C3329">
              <w:rPr>
                <w:rFonts w:ascii="Times New Roman" w:hAnsi="Times New Roman" w:cs="Times New Roman"/>
                <w:b/>
              </w:rPr>
              <w:t>n</w:t>
            </w:r>
            <w:proofErr w:type="gramEnd"/>
          </w:p>
        </w:tc>
        <w:tc>
          <w:tcPr>
            <w:tcW w:w="848" w:type="dxa"/>
            <w:tcBorders>
              <w:top w:val="double" w:sz="4" w:space="0" w:color="auto"/>
              <w:bottom w:val="single" w:sz="4" w:space="0" w:color="auto"/>
            </w:tcBorders>
          </w:tcPr>
          <w:p w:rsidR="00EA26F8" w:rsidRPr="008C3329" w:rsidRDefault="00EA26F8" w:rsidP="004E1E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8C3329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EA26F8" w:rsidTr="004E1EA4">
        <w:tc>
          <w:tcPr>
            <w:tcW w:w="2529" w:type="dxa"/>
            <w:tcBorders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arcinoma basocelular </w:t>
            </w:r>
          </w:p>
        </w:tc>
        <w:tc>
          <w:tcPr>
            <w:tcW w:w="929" w:type="dxa"/>
            <w:tcBorders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912" w:type="dxa"/>
            <w:tcBorders>
              <w:bottom w:val="nil"/>
            </w:tcBorders>
          </w:tcPr>
          <w:p w:rsidR="00EA26F8" w:rsidRPr="006E47F8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6E47F8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2685" w:type="dxa"/>
            <w:tcBorders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ueratose actínica</w:t>
            </w:r>
          </w:p>
        </w:tc>
        <w:tc>
          <w:tcPr>
            <w:tcW w:w="817" w:type="dxa"/>
            <w:tcBorders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48" w:type="dxa"/>
            <w:tcBorders>
              <w:bottom w:val="nil"/>
            </w:tcBorders>
          </w:tcPr>
          <w:p w:rsidR="00EA26F8" w:rsidRPr="006E47F8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7F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arcinoma espinhocelular 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6E47F8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6E47F8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2685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E85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24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Carcinoma sebá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ceo 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6E47F8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6E47F8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2685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nfoma 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6E47F8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6E47F8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2685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elanoma 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6E47F8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6E47F8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2685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arcoma de </w:t>
            </w:r>
            <w:proofErr w:type="spellStart"/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Kaposi</w:t>
            </w:r>
            <w:proofErr w:type="spellEnd"/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6E47F8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6E47F8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2685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Carcinoma adenóide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quí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stico</w:t>
            </w:r>
            <w:proofErr w:type="spellEnd"/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6E47F8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6E47F8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2685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Adenocarcinoma das glândulas sudorí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paras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6E47F8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&lt;</w:t>
            </w:r>
            <w:r w:rsidRPr="006E47F8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2685" w:type="dxa"/>
            <w:tcBorders>
              <w:top w:val="nil"/>
              <w:bottom w:val="nil"/>
            </w:tcBorders>
            <w:vAlign w:val="center"/>
          </w:tcPr>
          <w:p w:rsidR="00EA26F8" w:rsidRPr="00A25E85" w:rsidRDefault="00EA26F8" w:rsidP="004E1EA4">
            <w:pPr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A26F8" w:rsidTr="004E1EA4">
        <w:tc>
          <w:tcPr>
            <w:tcW w:w="25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 xml:space="preserve">arcinoma </w:t>
            </w:r>
            <w:proofErr w:type="spellStart"/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baso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escamoso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25E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EA26F8" w:rsidRPr="006E47F8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&lt;</w:t>
            </w:r>
            <w:r w:rsidRPr="006E47F8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2685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A26F8" w:rsidTr="004E1EA4">
        <w:tc>
          <w:tcPr>
            <w:tcW w:w="2529" w:type="dxa"/>
            <w:tcBorders>
              <w:top w:val="nil"/>
              <w:bottom w:val="single" w:sz="18" w:space="0" w:color="auto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E85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929" w:type="dxa"/>
            <w:tcBorders>
              <w:top w:val="nil"/>
              <w:bottom w:val="single" w:sz="18" w:space="0" w:color="auto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912" w:type="dxa"/>
            <w:tcBorders>
              <w:top w:val="nil"/>
              <w:bottom w:val="single" w:sz="18" w:space="0" w:color="auto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2685" w:type="dxa"/>
            <w:tcBorders>
              <w:top w:val="nil"/>
              <w:bottom w:val="single" w:sz="18" w:space="0" w:color="auto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bottom w:val="single" w:sz="18" w:space="0" w:color="auto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bottom w:val="single" w:sz="18" w:space="0" w:color="auto"/>
            </w:tcBorders>
          </w:tcPr>
          <w:p w:rsidR="00EA26F8" w:rsidRPr="00A25E85" w:rsidRDefault="00EA26F8" w:rsidP="004E1E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E1EA4" w:rsidRDefault="004E1EA4" w:rsidP="00D174F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E1EA4" w:rsidRPr="004E1EA4" w:rsidRDefault="00686016" w:rsidP="00686016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Tabelas</w:t>
      </w:r>
      <w:bookmarkStart w:id="0" w:name="_GoBack"/>
      <w:bookmarkEnd w:id="0"/>
    </w:p>
    <w:p w:rsidR="00D174FF" w:rsidRDefault="00D174FF" w:rsidP="00D174F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46EAE">
        <w:rPr>
          <w:rFonts w:ascii="Times New Roman" w:hAnsi="Times New Roman" w:cs="Times New Roman"/>
        </w:rPr>
        <w:t>Quadro I. Frequência de lesões</w:t>
      </w:r>
      <w:r w:rsidRPr="00746EAE">
        <w:t xml:space="preserve"> </w:t>
      </w:r>
      <w:r w:rsidRPr="00746EAE">
        <w:rPr>
          <w:rFonts w:ascii="Times New Roman" w:hAnsi="Times New Roman" w:cs="Times New Roman"/>
          <w:i/>
        </w:rPr>
        <w:t>tumor-</w:t>
      </w:r>
      <w:proofErr w:type="spellStart"/>
      <w:r w:rsidRPr="00746EAE">
        <w:rPr>
          <w:rFonts w:ascii="Times New Roman" w:hAnsi="Times New Roman" w:cs="Times New Roman"/>
          <w:i/>
        </w:rPr>
        <w:t>like</w:t>
      </w:r>
      <w:proofErr w:type="spellEnd"/>
      <w:r w:rsidRPr="00746EAE">
        <w:rPr>
          <w:rFonts w:ascii="Times New Roman" w:hAnsi="Times New Roman" w:cs="Times New Roman"/>
        </w:rPr>
        <w:t xml:space="preserve"> e tumores benignos, malignos e pré-malignos da pálpebra</w:t>
      </w:r>
    </w:p>
    <w:p w:rsidR="00D174FF" w:rsidRDefault="00D174FF" w:rsidP="00D174FF">
      <w:pPr>
        <w:spacing w:after="0" w:line="360" w:lineRule="auto"/>
        <w:rPr>
          <w:rFonts w:ascii="Times New Roman" w:hAnsi="Times New Roman" w:cs="Times New Roman"/>
        </w:rPr>
      </w:pPr>
    </w:p>
    <w:p w:rsidR="00D174FF" w:rsidRDefault="00D174FF" w:rsidP="00D174FF">
      <w:pPr>
        <w:spacing w:after="0" w:line="360" w:lineRule="auto"/>
        <w:rPr>
          <w:rFonts w:ascii="Times New Roman" w:hAnsi="Times New Roman" w:cs="Times New Roman"/>
        </w:rPr>
      </w:pPr>
    </w:p>
    <w:p w:rsidR="00ED5314" w:rsidRDefault="00ED5314" w:rsidP="00ED531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B4F8C">
        <w:rPr>
          <w:rFonts w:ascii="Times New Roman" w:hAnsi="Times New Roman" w:cs="Times New Roman"/>
        </w:rPr>
        <w:t>Quadro II. Frequência de tumores palpebrais segundo a sua origem</w:t>
      </w:r>
      <w:r>
        <w:rPr>
          <w:rFonts w:ascii="Times New Roman" w:hAnsi="Times New Roman" w:cs="Times New Roman"/>
        </w:rPr>
        <w:t xml:space="preserve"> histológica</w:t>
      </w:r>
    </w:p>
    <w:p w:rsidR="00D174FF" w:rsidRDefault="00D174FF" w:rsidP="00ED5314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1275"/>
        <w:gridCol w:w="1738"/>
      </w:tblGrid>
      <w:tr w:rsidR="00ED5314" w:rsidTr="009C5101">
        <w:trPr>
          <w:trHeight w:val="180"/>
          <w:jc w:val="center"/>
        </w:trPr>
        <w:tc>
          <w:tcPr>
            <w:tcW w:w="751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D5314" w:rsidRPr="00AD7ADD" w:rsidRDefault="00ED5314" w:rsidP="009C51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ADD">
              <w:rPr>
                <w:rFonts w:ascii="Times New Roman" w:hAnsi="Times New Roman" w:cs="Times New Roman"/>
                <w:b/>
              </w:rPr>
              <w:t>T</w:t>
            </w:r>
            <w:r>
              <w:rPr>
                <w:rFonts w:ascii="Times New Roman" w:hAnsi="Times New Roman" w:cs="Times New Roman"/>
                <w:b/>
              </w:rPr>
              <w:t>umores p</w:t>
            </w:r>
            <w:r w:rsidRPr="00AD7ADD">
              <w:rPr>
                <w:rFonts w:ascii="Times New Roman" w:hAnsi="Times New Roman" w:cs="Times New Roman"/>
                <w:b/>
              </w:rPr>
              <w:t>alpebrais</w:t>
            </w:r>
          </w:p>
        </w:tc>
      </w:tr>
      <w:tr w:rsidR="00ED5314" w:rsidTr="009C5101">
        <w:trPr>
          <w:trHeight w:val="298"/>
          <w:jc w:val="center"/>
        </w:trPr>
        <w:tc>
          <w:tcPr>
            <w:tcW w:w="450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5314" w:rsidRPr="00AD7ADD" w:rsidRDefault="00ED5314" w:rsidP="009C5101">
            <w:pPr>
              <w:rPr>
                <w:rFonts w:ascii="Times New Roman" w:hAnsi="Times New Roman" w:cs="Times New Roman"/>
                <w:b/>
              </w:rPr>
            </w:pPr>
            <w:r w:rsidRPr="00AD7ADD">
              <w:rPr>
                <w:rFonts w:ascii="Times New Roman" w:hAnsi="Times New Roman" w:cs="Times New Roman"/>
                <w:b/>
              </w:rPr>
              <w:t>Classificação dos tumores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5314" w:rsidRPr="00AD7ADD" w:rsidRDefault="00ED5314" w:rsidP="009C510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D7ADD">
              <w:rPr>
                <w:rFonts w:ascii="Times New Roman" w:hAnsi="Times New Roman" w:cs="Times New Roman"/>
                <w:b/>
              </w:rPr>
              <w:t>n</w:t>
            </w:r>
            <w:proofErr w:type="gramEnd"/>
          </w:p>
        </w:tc>
        <w:tc>
          <w:tcPr>
            <w:tcW w:w="173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5314" w:rsidRPr="00AD7ADD" w:rsidRDefault="00ED5314" w:rsidP="009C5101">
            <w:pPr>
              <w:rPr>
                <w:rFonts w:ascii="Times New Roman" w:hAnsi="Times New Roman" w:cs="Times New Roman"/>
                <w:b/>
              </w:rPr>
            </w:pPr>
            <w:r w:rsidRPr="00AD7ADD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ED5314" w:rsidTr="009C5101">
        <w:trPr>
          <w:jc w:val="center"/>
        </w:trPr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5314" w:rsidRPr="00AD7ADD" w:rsidRDefault="00ED5314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Epidérmicos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5314" w:rsidRPr="00AD7ADD" w:rsidRDefault="00ED5314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814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D5314" w:rsidRPr="00B2163D" w:rsidRDefault="00ED5314" w:rsidP="009C51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50,2</w:t>
            </w:r>
          </w:p>
        </w:tc>
      </w:tr>
      <w:tr w:rsidR="00ED5314" w:rsidTr="009C5101">
        <w:trPr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314" w:rsidRPr="00AD7ADD" w:rsidRDefault="00ED5314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Glandulares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/Anexiais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314" w:rsidRPr="00AD7ADD" w:rsidRDefault="00ED5314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124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5314" w:rsidRPr="00B2163D" w:rsidRDefault="00ED5314" w:rsidP="009C51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Pr="00B216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</w:t>
            </w:r>
          </w:p>
        </w:tc>
      </w:tr>
      <w:tr w:rsidR="00ED5314" w:rsidTr="009C5101">
        <w:trPr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314" w:rsidRPr="00AD7ADD" w:rsidRDefault="00ED5314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Melanocíticos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314" w:rsidRPr="00AD7ADD" w:rsidRDefault="00ED5314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175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5314" w:rsidRPr="00B2163D" w:rsidRDefault="00ED5314" w:rsidP="009C51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B216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</w:tr>
      <w:tr w:rsidR="00ED5314" w:rsidTr="009C5101">
        <w:trPr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314" w:rsidRPr="00AD7ADD" w:rsidRDefault="00ED5314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Tecidos moles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314" w:rsidRPr="00AD7ADD" w:rsidRDefault="00ED5314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126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5314" w:rsidRPr="00B2163D" w:rsidRDefault="00ED5314" w:rsidP="009C51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Pr="00B216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</w:tr>
      <w:tr w:rsidR="00ED5314" w:rsidTr="009C5101">
        <w:trPr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314" w:rsidRPr="00AD7ADD" w:rsidRDefault="00ED5314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Linfóide</w:t>
            </w:r>
            <w:proofErr w:type="spellEnd"/>
            <w:r w:rsidRPr="00AD7ADD">
              <w:rPr>
                <w:rFonts w:ascii="Times New Roman" w:hAnsi="Times New Roman" w:cs="Times New Roman"/>
                <w:sz w:val="18"/>
                <w:szCs w:val="18"/>
              </w:rPr>
              <w:t xml:space="preserve"> ou </w:t>
            </w:r>
            <w:proofErr w:type="spellStart"/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hematopoiéticos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314" w:rsidRPr="00AD7ADD" w:rsidRDefault="00ED5314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12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5314" w:rsidRPr="00B2163D" w:rsidRDefault="00ED5314" w:rsidP="009C51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Pr="00B216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</w:t>
            </w:r>
          </w:p>
        </w:tc>
      </w:tr>
      <w:tr w:rsidR="00ED5314" w:rsidTr="009C5101">
        <w:trPr>
          <w:jc w:val="center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5314" w:rsidRPr="00AD7ADD" w:rsidRDefault="00ED5314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Outros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5314" w:rsidRPr="00AD7ADD" w:rsidRDefault="00ED5314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5314" w:rsidRPr="00B2163D" w:rsidRDefault="00ED5314" w:rsidP="009C51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22,9</w:t>
            </w:r>
          </w:p>
        </w:tc>
      </w:tr>
      <w:tr w:rsidR="00ED5314" w:rsidTr="009C5101">
        <w:trPr>
          <w:jc w:val="center"/>
        </w:trPr>
        <w:tc>
          <w:tcPr>
            <w:tcW w:w="450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D5314" w:rsidRPr="00AD7ADD" w:rsidRDefault="00ED5314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D5314" w:rsidRPr="00AD7ADD" w:rsidRDefault="00ED5314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1622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D5314" w:rsidRPr="00AD7ADD" w:rsidRDefault="00ED5314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</w:tbl>
    <w:p w:rsidR="00D174FF" w:rsidRDefault="00D174FF" w:rsidP="00EA26F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44A05" w:rsidRDefault="00D44A05" w:rsidP="00ED5314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44A05" w:rsidRDefault="00D44A05" w:rsidP="00ED5314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44A05" w:rsidRDefault="00D44A05" w:rsidP="00ED5314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44A05" w:rsidRDefault="00D44A05" w:rsidP="00ED5314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ED5314" w:rsidRDefault="00ED5314" w:rsidP="00ED531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37009">
        <w:rPr>
          <w:rFonts w:ascii="Times New Roman" w:hAnsi="Times New Roman" w:cs="Times New Roman"/>
        </w:rPr>
        <w:t xml:space="preserve">Quadro III. Frequência de lesões </w:t>
      </w:r>
      <w:r w:rsidRPr="00637009">
        <w:rPr>
          <w:rFonts w:ascii="Times New Roman" w:hAnsi="Times New Roman" w:cs="Times New Roman"/>
          <w:i/>
        </w:rPr>
        <w:t>tumor-</w:t>
      </w:r>
      <w:proofErr w:type="spellStart"/>
      <w:r w:rsidRPr="00637009">
        <w:rPr>
          <w:rFonts w:ascii="Times New Roman" w:hAnsi="Times New Roman" w:cs="Times New Roman"/>
          <w:i/>
        </w:rPr>
        <w:t>like</w:t>
      </w:r>
      <w:proofErr w:type="spellEnd"/>
      <w:r w:rsidRPr="00637009">
        <w:rPr>
          <w:rFonts w:ascii="Times New Roman" w:hAnsi="Times New Roman" w:cs="Times New Roman"/>
        </w:rPr>
        <w:t xml:space="preserve"> e de tumores de origem epidérmica</w:t>
      </w:r>
    </w:p>
    <w:p w:rsidR="00D44A05" w:rsidRDefault="00D44A05" w:rsidP="00ED5314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Tabelacomgrelha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417"/>
        <w:gridCol w:w="1701"/>
      </w:tblGrid>
      <w:tr w:rsidR="00D44A05" w:rsidRPr="00177156" w:rsidTr="009C5101">
        <w:trPr>
          <w:trHeight w:val="224"/>
          <w:jc w:val="center"/>
        </w:trPr>
        <w:tc>
          <w:tcPr>
            <w:tcW w:w="7479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44A05" w:rsidRPr="00AD7ADD" w:rsidRDefault="00D44A05" w:rsidP="009C51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Lesões tumor-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 t</w:t>
            </w:r>
            <w:r w:rsidRPr="00AD7ADD">
              <w:rPr>
                <w:rFonts w:ascii="Times New Roman" w:hAnsi="Times New Roman" w:cs="Times New Roman"/>
                <w:b/>
              </w:rPr>
              <w:t>umo</w:t>
            </w:r>
            <w:r>
              <w:rPr>
                <w:rFonts w:ascii="Times New Roman" w:hAnsi="Times New Roman" w:cs="Times New Roman"/>
                <w:b/>
              </w:rPr>
              <w:t>res de origem e</w:t>
            </w:r>
            <w:r w:rsidRPr="00AD7ADD">
              <w:rPr>
                <w:rFonts w:ascii="Times New Roman" w:hAnsi="Times New Roman" w:cs="Times New Roman"/>
                <w:b/>
              </w:rPr>
              <w:t>pidé</w:t>
            </w:r>
            <w:r>
              <w:rPr>
                <w:rFonts w:ascii="Times New Roman" w:hAnsi="Times New Roman" w:cs="Times New Roman"/>
                <w:b/>
              </w:rPr>
              <w:t>rmica</w:t>
            </w:r>
          </w:p>
        </w:tc>
      </w:tr>
      <w:tr w:rsidR="00D44A05" w:rsidTr="009C5101">
        <w:trPr>
          <w:trHeight w:val="226"/>
          <w:jc w:val="center"/>
        </w:trPr>
        <w:tc>
          <w:tcPr>
            <w:tcW w:w="4361" w:type="dxa"/>
            <w:tcBorders>
              <w:top w:val="single" w:sz="18" w:space="0" w:color="auto"/>
            </w:tcBorders>
            <w:vAlign w:val="center"/>
          </w:tcPr>
          <w:p w:rsidR="00D44A05" w:rsidRPr="00AD7ADD" w:rsidRDefault="00D44A05" w:rsidP="009C5101">
            <w:pPr>
              <w:rPr>
                <w:rFonts w:ascii="Times New Roman" w:hAnsi="Times New Roman" w:cs="Times New Roman"/>
                <w:b/>
              </w:rPr>
            </w:pPr>
            <w:r w:rsidRPr="00AD7ADD">
              <w:rPr>
                <w:rFonts w:ascii="Times New Roman" w:hAnsi="Times New Roman" w:cs="Times New Roman"/>
                <w:b/>
              </w:rPr>
              <w:t>Tipo de tumor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D44A05" w:rsidRPr="00AD7ADD" w:rsidRDefault="00D44A05" w:rsidP="009C51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D7ADD">
              <w:rPr>
                <w:rFonts w:ascii="Times New Roman" w:hAnsi="Times New Roman" w:cs="Times New Roman"/>
                <w:b/>
              </w:rPr>
              <w:t>n</w:t>
            </w:r>
            <w:proofErr w:type="gramEnd"/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D44A05" w:rsidRPr="00AD7ADD" w:rsidRDefault="00D44A05" w:rsidP="009C51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AD7ADD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D44A05" w:rsidTr="009C5101">
        <w:trPr>
          <w:jc w:val="center"/>
        </w:trPr>
        <w:tc>
          <w:tcPr>
            <w:tcW w:w="4361" w:type="dxa"/>
            <w:vAlign w:val="center"/>
          </w:tcPr>
          <w:p w:rsidR="00D44A05" w:rsidRPr="00AD7ADD" w:rsidRDefault="00D44A05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ADD">
              <w:rPr>
                <w:rFonts w:ascii="Times New Roman" w:hAnsi="Times New Roman" w:cs="Times New Roman"/>
                <w:b/>
                <w:sz w:val="18"/>
                <w:szCs w:val="18"/>
              </w:rPr>
              <w:t>Benignos</w:t>
            </w:r>
          </w:p>
          <w:p w:rsidR="00D44A05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Papiloma escamoso</w:t>
            </w:r>
          </w:p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Verruga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vulgaris</w:t>
            </w:r>
            <w:proofErr w:type="spellEnd"/>
          </w:p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Molusco Contagioso</w:t>
            </w:r>
          </w:p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Queratose seborreica</w:t>
            </w:r>
          </w:p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Queratose folicular inversa</w:t>
            </w:r>
          </w:p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Queratoacantoma</w:t>
            </w:r>
            <w:proofErr w:type="spellEnd"/>
          </w:p>
        </w:tc>
        <w:tc>
          <w:tcPr>
            <w:tcW w:w="1417" w:type="dxa"/>
            <w:vAlign w:val="center"/>
          </w:tcPr>
          <w:p w:rsidR="00D44A05" w:rsidRPr="00B571BD" w:rsidRDefault="00D44A05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44A05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37</w:t>
            </w:r>
          </w:p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1" w:type="dxa"/>
            <w:vAlign w:val="center"/>
          </w:tcPr>
          <w:p w:rsidR="00D44A05" w:rsidRDefault="00D44A05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44A05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45,7</w:t>
            </w:r>
          </w:p>
          <w:p w:rsidR="00D44A05" w:rsidRPr="00FF2D77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4,5</w:t>
            </w:r>
          </w:p>
          <w:p w:rsidR="00D44A05" w:rsidRPr="00FF2D77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1,7</w:t>
            </w:r>
          </w:p>
          <w:p w:rsidR="00D44A05" w:rsidRPr="00FF2D77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2,2</w:t>
            </w:r>
          </w:p>
          <w:p w:rsidR="00D44A05" w:rsidRPr="00FF2D77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FF2D77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  <w:p w:rsidR="00D44A05" w:rsidRPr="00FF2D77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2,0</w:t>
            </w:r>
          </w:p>
        </w:tc>
      </w:tr>
      <w:tr w:rsidR="00D44A05" w:rsidTr="009C5101">
        <w:trPr>
          <w:jc w:val="center"/>
        </w:trPr>
        <w:tc>
          <w:tcPr>
            <w:tcW w:w="4361" w:type="dxa"/>
            <w:vAlign w:val="center"/>
          </w:tcPr>
          <w:p w:rsidR="00D44A05" w:rsidRPr="00AD7ADD" w:rsidRDefault="00D44A05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ADD">
              <w:rPr>
                <w:rFonts w:ascii="Times New Roman" w:hAnsi="Times New Roman" w:cs="Times New Roman"/>
                <w:b/>
                <w:sz w:val="18"/>
                <w:szCs w:val="18"/>
              </w:rPr>
              <w:t>Pré-malignos</w:t>
            </w:r>
          </w:p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Queratose actínica</w:t>
            </w:r>
          </w:p>
        </w:tc>
        <w:tc>
          <w:tcPr>
            <w:tcW w:w="1417" w:type="dxa"/>
            <w:vAlign w:val="center"/>
          </w:tcPr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01" w:type="dxa"/>
            <w:vAlign w:val="center"/>
          </w:tcPr>
          <w:p w:rsidR="00D44A05" w:rsidRPr="00FF2D77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05" w:rsidRPr="00FF2D77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2,9</w:t>
            </w:r>
          </w:p>
        </w:tc>
      </w:tr>
      <w:tr w:rsidR="00D44A05" w:rsidTr="009C5101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:rsidR="00D44A05" w:rsidRPr="00AD7ADD" w:rsidRDefault="00D44A05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ADD">
              <w:rPr>
                <w:rFonts w:ascii="Times New Roman" w:hAnsi="Times New Roman" w:cs="Times New Roman"/>
                <w:b/>
                <w:sz w:val="18"/>
                <w:szCs w:val="18"/>
              </w:rPr>
              <w:t>Malignos</w:t>
            </w:r>
          </w:p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Carcinoma basocelular</w:t>
            </w:r>
          </w:p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Carcinoma espinhocelular</w:t>
            </w:r>
          </w:p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 xml:space="preserve">Carcinoma </w:t>
            </w:r>
            <w:proofErr w:type="spellStart"/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baso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escamoso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44A05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44A05" w:rsidRDefault="00D44A05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44A05" w:rsidRPr="00FF2D77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38,0</w:t>
            </w:r>
          </w:p>
          <w:p w:rsidR="00D44A05" w:rsidRPr="00FF2D77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2,0</w:t>
            </w:r>
          </w:p>
          <w:p w:rsidR="00D44A05" w:rsidRPr="00FF2D77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FF2D77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</w:tr>
      <w:tr w:rsidR="00D44A05" w:rsidTr="009C5101">
        <w:trPr>
          <w:jc w:val="center"/>
        </w:trPr>
        <w:tc>
          <w:tcPr>
            <w:tcW w:w="4361" w:type="dxa"/>
            <w:tcBorders>
              <w:bottom w:val="single" w:sz="18" w:space="0" w:color="auto"/>
            </w:tcBorders>
            <w:vAlign w:val="center"/>
          </w:tcPr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ADD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D44A05" w:rsidRPr="00AD7ADD" w:rsidRDefault="00D44A05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7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</w:tbl>
    <w:p w:rsidR="00FB181C" w:rsidRDefault="00FB181C"/>
    <w:p w:rsidR="004407AB" w:rsidRDefault="004407AB">
      <w:pPr>
        <w:rPr>
          <w:rFonts w:ascii="Times New Roman" w:hAnsi="Times New Roman" w:cs="Times New Roman"/>
        </w:rPr>
      </w:pPr>
      <w:r w:rsidRPr="00F402EB">
        <w:rPr>
          <w:rFonts w:ascii="Times New Roman" w:hAnsi="Times New Roman" w:cs="Times New Roman"/>
        </w:rPr>
        <w:t xml:space="preserve">Quadro IV. Frequência de lesões </w:t>
      </w:r>
      <w:r w:rsidRPr="00F402EB">
        <w:rPr>
          <w:rFonts w:ascii="Times New Roman" w:hAnsi="Times New Roman" w:cs="Times New Roman"/>
          <w:i/>
        </w:rPr>
        <w:t>tumor-</w:t>
      </w:r>
      <w:proofErr w:type="spellStart"/>
      <w:r w:rsidRPr="00F402EB">
        <w:rPr>
          <w:rFonts w:ascii="Times New Roman" w:hAnsi="Times New Roman" w:cs="Times New Roman"/>
          <w:i/>
        </w:rPr>
        <w:t>like</w:t>
      </w:r>
      <w:proofErr w:type="spellEnd"/>
      <w:r w:rsidRPr="00F402EB">
        <w:rPr>
          <w:rFonts w:ascii="Times New Roman" w:hAnsi="Times New Roman" w:cs="Times New Roman"/>
        </w:rPr>
        <w:t xml:space="preserve"> e de tumores anexiais ou de origem glandular</w:t>
      </w:r>
    </w:p>
    <w:tbl>
      <w:tblPr>
        <w:tblStyle w:val="Tabelacomgrelha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417"/>
        <w:gridCol w:w="1701"/>
      </w:tblGrid>
      <w:tr w:rsidR="004407AB" w:rsidRPr="0046036C" w:rsidTr="009C5101">
        <w:trPr>
          <w:trHeight w:val="247"/>
          <w:jc w:val="center"/>
        </w:trPr>
        <w:tc>
          <w:tcPr>
            <w:tcW w:w="7479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407AB" w:rsidRPr="0046036C" w:rsidRDefault="004407AB" w:rsidP="009C51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Lesões </w:t>
            </w:r>
            <w:r w:rsidRPr="0099778D">
              <w:rPr>
                <w:rFonts w:ascii="Times New Roman" w:hAnsi="Times New Roman" w:cs="Times New Roman"/>
                <w:b/>
                <w:i/>
              </w:rPr>
              <w:t>tumor-</w:t>
            </w:r>
            <w:proofErr w:type="spellStart"/>
            <w:r w:rsidRPr="0099778D">
              <w:rPr>
                <w:rFonts w:ascii="Times New Roman" w:hAnsi="Times New Roman" w:cs="Times New Roman"/>
                <w:b/>
                <w:i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 t</w:t>
            </w:r>
            <w:r w:rsidRPr="0046036C">
              <w:rPr>
                <w:rFonts w:ascii="Times New Roman" w:hAnsi="Times New Roman" w:cs="Times New Roman"/>
                <w:b/>
              </w:rPr>
              <w:t>umores anexiais</w:t>
            </w:r>
            <w:r>
              <w:rPr>
                <w:rFonts w:ascii="Times New Roman" w:hAnsi="Times New Roman" w:cs="Times New Roman"/>
                <w:b/>
              </w:rPr>
              <w:t xml:space="preserve"> ou de origem glandular</w:t>
            </w:r>
          </w:p>
        </w:tc>
      </w:tr>
      <w:tr w:rsidR="004407AB" w:rsidRPr="0046036C" w:rsidTr="009C5101">
        <w:trPr>
          <w:trHeight w:val="223"/>
          <w:jc w:val="center"/>
        </w:trPr>
        <w:tc>
          <w:tcPr>
            <w:tcW w:w="436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4407AB" w:rsidRPr="0046036C" w:rsidRDefault="004407AB" w:rsidP="009C5101">
            <w:pPr>
              <w:rPr>
                <w:rFonts w:ascii="Times New Roman" w:hAnsi="Times New Roman" w:cs="Times New Roman"/>
                <w:b/>
              </w:rPr>
            </w:pPr>
            <w:r w:rsidRPr="0046036C">
              <w:rPr>
                <w:rFonts w:ascii="Times New Roman" w:hAnsi="Times New Roman" w:cs="Times New Roman"/>
                <w:b/>
              </w:rPr>
              <w:t>Tipo de tumor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4407AB" w:rsidRPr="0046036C" w:rsidRDefault="004407AB" w:rsidP="009C51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6036C">
              <w:rPr>
                <w:rFonts w:ascii="Times New Roman" w:hAnsi="Times New Roman" w:cs="Times New Roman"/>
                <w:b/>
              </w:rPr>
              <w:t>n</w:t>
            </w:r>
            <w:proofErr w:type="gramEnd"/>
          </w:p>
        </w:tc>
        <w:tc>
          <w:tcPr>
            <w:tcW w:w="170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4407AB" w:rsidRPr="0046036C" w:rsidRDefault="004407AB" w:rsidP="009C51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46036C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4407AB" w:rsidTr="009C5101">
        <w:trPr>
          <w:trHeight w:val="130"/>
          <w:jc w:val="center"/>
        </w:trPr>
        <w:tc>
          <w:tcPr>
            <w:tcW w:w="4361" w:type="dxa"/>
            <w:tcBorders>
              <w:top w:val="single" w:sz="2" w:space="0" w:color="auto"/>
            </w:tcBorders>
            <w:vAlign w:val="center"/>
          </w:tcPr>
          <w:p w:rsidR="004407AB" w:rsidRPr="00281168" w:rsidRDefault="004407AB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168">
              <w:rPr>
                <w:rFonts w:ascii="Times New Roman" w:hAnsi="Times New Roman" w:cs="Times New Roman"/>
                <w:b/>
                <w:sz w:val="18"/>
                <w:szCs w:val="18"/>
              </w:rPr>
              <w:t>Origem de glândulas sebáceas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4407AB" w:rsidRPr="00281168" w:rsidRDefault="004407AB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12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4407AB" w:rsidRPr="00281168" w:rsidRDefault="004407AB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9,7</w:t>
            </w:r>
          </w:p>
        </w:tc>
      </w:tr>
      <w:tr w:rsidR="004407AB" w:rsidTr="009C5101">
        <w:trPr>
          <w:jc w:val="center"/>
        </w:trPr>
        <w:tc>
          <w:tcPr>
            <w:tcW w:w="4361" w:type="dxa"/>
            <w:vAlign w:val="center"/>
          </w:tcPr>
          <w:p w:rsidR="004407AB" w:rsidRPr="00281168" w:rsidRDefault="004407AB" w:rsidP="009C510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1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Benignos </w:t>
            </w:r>
          </w:p>
          <w:p w:rsidR="004407AB" w:rsidRPr="00281168" w:rsidRDefault="004407AB" w:rsidP="009C51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Hiperplasia sebácea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adenomatosa</w:t>
            </w:r>
            <w:proofErr w:type="spellEnd"/>
          </w:p>
          <w:p w:rsidR="004407AB" w:rsidRPr="00281168" w:rsidRDefault="004407AB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1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Malignos </w:t>
            </w:r>
          </w:p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Adenoc</w:t>
            </w:r>
            <w:r w:rsidRPr="00281168">
              <w:rPr>
                <w:rFonts w:ascii="Times New Roman" w:hAnsi="Times New Roman" w:cs="Times New Roman"/>
                <w:sz w:val="18"/>
                <w:szCs w:val="18"/>
              </w:rPr>
              <w:t>arcinoma sebáceo</w:t>
            </w:r>
          </w:p>
        </w:tc>
        <w:tc>
          <w:tcPr>
            <w:tcW w:w="1417" w:type="dxa"/>
            <w:vAlign w:val="center"/>
          </w:tcPr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2811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116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:rsidR="004407AB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0,8</w:t>
            </w:r>
          </w:p>
          <w:p w:rsidR="004407AB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8,9</w:t>
            </w:r>
          </w:p>
        </w:tc>
      </w:tr>
      <w:tr w:rsidR="004407AB" w:rsidTr="009C5101">
        <w:trPr>
          <w:trHeight w:val="225"/>
          <w:jc w:val="center"/>
        </w:trPr>
        <w:tc>
          <w:tcPr>
            <w:tcW w:w="4361" w:type="dxa"/>
            <w:vAlign w:val="center"/>
          </w:tcPr>
          <w:p w:rsidR="004407AB" w:rsidRPr="00281168" w:rsidRDefault="004407AB" w:rsidP="009C510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168">
              <w:rPr>
                <w:rFonts w:ascii="Times New Roman" w:hAnsi="Times New Roman" w:cs="Times New Roman"/>
                <w:b/>
                <w:sz w:val="18"/>
                <w:szCs w:val="18"/>
              </w:rPr>
              <w:t>Origem de glândulas sudoríparas</w:t>
            </w:r>
          </w:p>
        </w:tc>
        <w:tc>
          <w:tcPr>
            <w:tcW w:w="1417" w:type="dxa"/>
            <w:vAlign w:val="center"/>
          </w:tcPr>
          <w:p w:rsidR="004407AB" w:rsidRPr="00E75234" w:rsidRDefault="004407AB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75234">
              <w:rPr>
                <w:rFonts w:ascii="Times New Roman" w:hAnsi="Times New Roman" w:cs="Times New Roman"/>
                <w:b/>
                <w:sz w:val="18"/>
                <w:szCs w:val="18"/>
              </w:rPr>
              <w:t>97</w:t>
            </w:r>
          </w:p>
        </w:tc>
        <w:tc>
          <w:tcPr>
            <w:tcW w:w="1701" w:type="dxa"/>
            <w:vAlign w:val="center"/>
          </w:tcPr>
          <w:p w:rsidR="004407AB" w:rsidRPr="00E75234" w:rsidRDefault="004407AB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E75234">
              <w:rPr>
                <w:rFonts w:ascii="Times New Roman" w:hAnsi="Times New Roman" w:cs="Times New Roman"/>
                <w:b/>
                <w:sz w:val="18"/>
                <w:szCs w:val="18"/>
              </w:rPr>
              <w:t>78,2</w:t>
            </w:r>
          </w:p>
        </w:tc>
      </w:tr>
      <w:tr w:rsidR="004407AB" w:rsidTr="009C5101">
        <w:trPr>
          <w:jc w:val="center"/>
        </w:trPr>
        <w:tc>
          <w:tcPr>
            <w:tcW w:w="4361" w:type="dxa"/>
            <w:vAlign w:val="center"/>
          </w:tcPr>
          <w:p w:rsidR="004407AB" w:rsidRPr="00281168" w:rsidRDefault="004407AB" w:rsidP="009C510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168">
              <w:rPr>
                <w:rFonts w:ascii="Times New Roman" w:hAnsi="Times New Roman" w:cs="Times New Roman"/>
                <w:b/>
                <w:sz w:val="18"/>
                <w:szCs w:val="18"/>
              </w:rPr>
              <w:t>Benignos</w:t>
            </w:r>
          </w:p>
          <w:p w:rsidR="004407AB" w:rsidRPr="00281168" w:rsidRDefault="004407AB" w:rsidP="009C51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168">
              <w:rPr>
                <w:rFonts w:ascii="Times New Roman" w:hAnsi="Times New Roman" w:cs="Times New Roman"/>
                <w:sz w:val="18"/>
                <w:szCs w:val="18"/>
              </w:rPr>
              <w:t>Siringoma</w:t>
            </w:r>
            <w:proofErr w:type="spellEnd"/>
            <w:r w:rsidRPr="002811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07AB" w:rsidRPr="00281168" w:rsidRDefault="004407AB" w:rsidP="009C51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Adenoma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pleomó</w:t>
            </w:r>
            <w:r w:rsidRPr="00281168">
              <w:rPr>
                <w:rFonts w:ascii="Times New Roman" w:hAnsi="Times New Roman" w:cs="Times New Roman"/>
                <w:sz w:val="18"/>
                <w:szCs w:val="18"/>
              </w:rPr>
              <w:t>rfico</w:t>
            </w:r>
            <w:proofErr w:type="spellEnd"/>
          </w:p>
          <w:p w:rsidR="004407AB" w:rsidRPr="00281168" w:rsidRDefault="004407AB" w:rsidP="009C51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168">
              <w:rPr>
                <w:rFonts w:ascii="Times New Roman" w:hAnsi="Times New Roman" w:cs="Times New Roman"/>
                <w:sz w:val="18"/>
                <w:szCs w:val="18"/>
              </w:rPr>
              <w:t>Hidrocistoma</w:t>
            </w:r>
            <w:proofErr w:type="spellEnd"/>
          </w:p>
          <w:p w:rsidR="004407AB" w:rsidRPr="00281168" w:rsidRDefault="004407AB" w:rsidP="009C510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168">
              <w:rPr>
                <w:rFonts w:ascii="Times New Roman" w:hAnsi="Times New Roman" w:cs="Times New Roman"/>
                <w:b/>
                <w:sz w:val="18"/>
                <w:szCs w:val="18"/>
              </w:rPr>
              <w:t>Malignos</w:t>
            </w:r>
          </w:p>
          <w:p w:rsidR="004407AB" w:rsidRPr="0018531E" w:rsidRDefault="004407AB" w:rsidP="009C51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31E">
              <w:rPr>
                <w:rFonts w:ascii="Times New Roman" w:hAnsi="Times New Roman" w:cs="Times New Roman"/>
                <w:sz w:val="18"/>
                <w:szCs w:val="18"/>
              </w:rPr>
              <w:t xml:space="preserve">Carcinoma adenóide </w:t>
            </w:r>
            <w:proofErr w:type="spellStart"/>
            <w:r w:rsidRPr="0018531E">
              <w:rPr>
                <w:rFonts w:ascii="Times New Roman" w:hAnsi="Times New Roman" w:cs="Times New Roman"/>
                <w:sz w:val="18"/>
                <w:szCs w:val="18"/>
              </w:rPr>
              <w:t>quístico</w:t>
            </w:r>
            <w:proofErr w:type="spellEnd"/>
          </w:p>
          <w:p w:rsidR="004407AB" w:rsidRPr="00281168" w:rsidRDefault="004407AB" w:rsidP="009C51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Adenocarcinoma das glândulas sudoríparas</w:t>
            </w:r>
          </w:p>
        </w:tc>
        <w:tc>
          <w:tcPr>
            <w:tcW w:w="1417" w:type="dxa"/>
            <w:vAlign w:val="center"/>
          </w:tcPr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116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2811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116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AB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2811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1</w:t>
            </w:r>
          </w:p>
        </w:tc>
        <w:tc>
          <w:tcPr>
            <w:tcW w:w="1701" w:type="dxa"/>
            <w:vAlign w:val="center"/>
          </w:tcPr>
          <w:p w:rsidR="004407AB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AB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10,5</w:t>
            </w:r>
          </w:p>
          <w:p w:rsidR="004407AB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0,8</w:t>
            </w:r>
          </w:p>
          <w:p w:rsidR="004407AB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64,5</w:t>
            </w:r>
          </w:p>
          <w:p w:rsidR="004407AB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AB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1,6</w:t>
            </w:r>
          </w:p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0,8</w:t>
            </w:r>
          </w:p>
        </w:tc>
      </w:tr>
      <w:tr w:rsidR="004407AB" w:rsidTr="009C5101">
        <w:trPr>
          <w:trHeight w:val="147"/>
          <w:jc w:val="center"/>
        </w:trPr>
        <w:tc>
          <w:tcPr>
            <w:tcW w:w="4361" w:type="dxa"/>
            <w:vAlign w:val="center"/>
          </w:tcPr>
          <w:p w:rsidR="004407AB" w:rsidRPr="00281168" w:rsidRDefault="004407AB" w:rsidP="009C510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168">
              <w:rPr>
                <w:rFonts w:ascii="Times New Roman" w:hAnsi="Times New Roman" w:cs="Times New Roman"/>
                <w:b/>
                <w:sz w:val="18"/>
                <w:szCs w:val="18"/>
              </w:rPr>
              <w:t>Origem dos folículos pilosos</w:t>
            </w:r>
          </w:p>
        </w:tc>
        <w:tc>
          <w:tcPr>
            <w:tcW w:w="1417" w:type="dxa"/>
            <w:vAlign w:val="center"/>
          </w:tcPr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407AB" w:rsidRPr="0045018E" w:rsidRDefault="004407AB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45018E">
              <w:rPr>
                <w:rFonts w:ascii="Times New Roman" w:hAnsi="Times New Roman" w:cs="Times New Roman"/>
                <w:b/>
                <w:sz w:val="18"/>
                <w:szCs w:val="18"/>
              </w:rPr>
              <w:t>12,1</w:t>
            </w:r>
          </w:p>
        </w:tc>
      </w:tr>
      <w:tr w:rsidR="004407AB" w:rsidTr="009C5101">
        <w:trPr>
          <w:jc w:val="center"/>
        </w:trPr>
        <w:tc>
          <w:tcPr>
            <w:tcW w:w="4361" w:type="dxa"/>
            <w:tcBorders>
              <w:bottom w:val="single" w:sz="2" w:space="0" w:color="auto"/>
            </w:tcBorders>
            <w:vAlign w:val="center"/>
          </w:tcPr>
          <w:p w:rsidR="004407AB" w:rsidRPr="00281168" w:rsidRDefault="004407AB" w:rsidP="009C51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1168">
              <w:rPr>
                <w:rFonts w:ascii="Times New Roman" w:hAnsi="Times New Roman" w:cs="Times New Roman"/>
                <w:b/>
                <w:sz w:val="18"/>
                <w:szCs w:val="18"/>
              </w:rPr>
              <w:t>Benignos</w:t>
            </w:r>
          </w:p>
          <w:p w:rsidR="004407AB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1168">
              <w:rPr>
                <w:rFonts w:ascii="Times New Roman" w:hAnsi="Times New Roman" w:cs="Times New Roman"/>
                <w:sz w:val="18"/>
                <w:szCs w:val="18"/>
              </w:rPr>
              <w:t>Tricoepitelioma</w:t>
            </w:r>
            <w:proofErr w:type="spellEnd"/>
          </w:p>
          <w:p w:rsidR="004407AB" w:rsidRPr="00710CDB" w:rsidRDefault="004407AB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0CDB">
              <w:rPr>
                <w:rFonts w:ascii="Times New Roman" w:hAnsi="Times New Roman" w:cs="Times New Roman"/>
                <w:b/>
                <w:sz w:val="18"/>
                <w:szCs w:val="18"/>
              </w:rPr>
              <w:t>Malignos</w:t>
            </w:r>
          </w:p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AB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8116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4407AB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-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AB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12,1</w:t>
            </w:r>
          </w:p>
          <w:p w:rsidR="004407AB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4407AB" w:rsidTr="009C5101">
        <w:trPr>
          <w:jc w:val="center"/>
        </w:trPr>
        <w:tc>
          <w:tcPr>
            <w:tcW w:w="436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168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4407AB" w:rsidRPr="00281168" w:rsidRDefault="004407AB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</w:tbl>
    <w:p w:rsidR="004407AB" w:rsidRDefault="004407AB"/>
    <w:p w:rsidR="004407AB" w:rsidRDefault="004407AB" w:rsidP="004407A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A1B0D">
        <w:rPr>
          <w:rFonts w:ascii="Times New Roman" w:hAnsi="Times New Roman" w:cs="Times New Roman"/>
        </w:rPr>
        <w:t xml:space="preserve">Quadro V. Frequência de lesões </w:t>
      </w:r>
      <w:r w:rsidRPr="000A1B0D">
        <w:rPr>
          <w:rFonts w:ascii="Times New Roman" w:hAnsi="Times New Roman" w:cs="Times New Roman"/>
          <w:i/>
        </w:rPr>
        <w:t>tumor-</w:t>
      </w:r>
      <w:proofErr w:type="spellStart"/>
      <w:r w:rsidRPr="000A1B0D">
        <w:rPr>
          <w:rFonts w:ascii="Times New Roman" w:hAnsi="Times New Roman" w:cs="Times New Roman"/>
          <w:i/>
        </w:rPr>
        <w:t>like</w:t>
      </w:r>
      <w:proofErr w:type="spellEnd"/>
      <w:r w:rsidRPr="000A1B0D">
        <w:rPr>
          <w:rFonts w:ascii="Times New Roman" w:hAnsi="Times New Roman" w:cs="Times New Roman"/>
        </w:rPr>
        <w:t xml:space="preserve"> e de tumores de origem </w:t>
      </w:r>
      <w:proofErr w:type="spellStart"/>
      <w:r>
        <w:rPr>
          <w:rFonts w:ascii="Times New Roman" w:hAnsi="Times New Roman" w:cs="Times New Roman"/>
        </w:rPr>
        <w:t>melanocítica</w:t>
      </w:r>
      <w:proofErr w:type="spellEnd"/>
    </w:p>
    <w:p w:rsidR="003619F1" w:rsidRDefault="003619F1" w:rsidP="004407AB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Tabelacomgrelha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417"/>
        <w:gridCol w:w="1701"/>
      </w:tblGrid>
      <w:tr w:rsidR="003619F1" w:rsidRPr="00177156" w:rsidTr="009C5101">
        <w:trPr>
          <w:trHeight w:val="182"/>
          <w:jc w:val="center"/>
        </w:trPr>
        <w:tc>
          <w:tcPr>
            <w:tcW w:w="7479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619F1" w:rsidRPr="00281168" w:rsidRDefault="003619F1" w:rsidP="009C51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Lesões tumor-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 t</w:t>
            </w:r>
            <w:r w:rsidRPr="00281168">
              <w:rPr>
                <w:rFonts w:ascii="Times New Roman" w:hAnsi="Times New Roman" w:cs="Times New Roman"/>
                <w:b/>
              </w:rPr>
              <w:t xml:space="preserve">umores de origem </w:t>
            </w:r>
            <w:proofErr w:type="spellStart"/>
            <w:r w:rsidRPr="00281168">
              <w:rPr>
                <w:rFonts w:ascii="Times New Roman" w:hAnsi="Times New Roman" w:cs="Times New Roman"/>
                <w:b/>
              </w:rPr>
              <w:t>melanocítica</w:t>
            </w:r>
            <w:proofErr w:type="spellEnd"/>
          </w:p>
        </w:tc>
      </w:tr>
      <w:tr w:rsidR="003619F1" w:rsidTr="009C5101">
        <w:trPr>
          <w:trHeight w:val="245"/>
          <w:jc w:val="center"/>
        </w:trPr>
        <w:tc>
          <w:tcPr>
            <w:tcW w:w="4361" w:type="dxa"/>
            <w:tcBorders>
              <w:top w:val="single" w:sz="18" w:space="0" w:color="auto"/>
            </w:tcBorders>
            <w:vAlign w:val="center"/>
          </w:tcPr>
          <w:p w:rsidR="003619F1" w:rsidRPr="00281168" w:rsidRDefault="003619F1" w:rsidP="009C5101">
            <w:pPr>
              <w:rPr>
                <w:rFonts w:ascii="Times New Roman" w:hAnsi="Times New Roman" w:cs="Times New Roman"/>
                <w:b/>
              </w:rPr>
            </w:pPr>
            <w:r w:rsidRPr="00281168">
              <w:rPr>
                <w:rFonts w:ascii="Times New Roman" w:hAnsi="Times New Roman" w:cs="Times New Roman"/>
                <w:b/>
              </w:rPr>
              <w:t>Tipo de tumor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3619F1" w:rsidRPr="00281168" w:rsidRDefault="003619F1" w:rsidP="009C51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gramStart"/>
            <w:r w:rsidRPr="00281168">
              <w:rPr>
                <w:rFonts w:ascii="Times New Roman" w:hAnsi="Times New Roman" w:cs="Times New Roman"/>
                <w:b/>
              </w:rPr>
              <w:t>n</w:t>
            </w:r>
            <w:proofErr w:type="gramEnd"/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619F1" w:rsidRPr="00281168" w:rsidRDefault="003619F1" w:rsidP="009C51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281168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3619F1" w:rsidTr="009C5101">
        <w:trPr>
          <w:jc w:val="center"/>
        </w:trPr>
        <w:tc>
          <w:tcPr>
            <w:tcW w:w="4361" w:type="dxa"/>
            <w:vAlign w:val="center"/>
          </w:tcPr>
          <w:p w:rsidR="003619F1" w:rsidRPr="00281168" w:rsidRDefault="003619F1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168">
              <w:rPr>
                <w:rFonts w:ascii="Times New Roman" w:hAnsi="Times New Roman" w:cs="Times New Roman"/>
                <w:b/>
                <w:sz w:val="18"/>
                <w:szCs w:val="18"/>
              </w:rPr>
              <w:t>Benignos</w:t>
            </w:r>
          </w:p>
          <w:p w:rsidR="003619F1" w:rsidRPr="00281168" w:rsidRDefault="003619F1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168">
              <w:rPr>
                <w:rFonts w:ascii="Times New Roman" w:hAnsi="Times New Roman" w:cs="Times New Roman"/>
                <w:sz w:val="18"/>
                <w:szCs w:val="18"/>
              </w:rPr>
              <w:t>Nevus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melanocítico</w:t>
            </w:r>
            <w:proofErr w:type="spellEnd"/>
          </w:p>
          <w:p w:rsidR="003619F1" w:rsidRPr="00281168" w:rsidRDefault="003619F1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678">
              <w:rPr>
                <w:rFonts w:ascii="Times New Roman" w:hAnsi="Times New Roman" w:cs="Times New Roman"/>
                <w:sz w:val="18"/>
                <w:szCs w:val="18"/>
              </w:rPr>
              <w:t>Melanose da conjuntiva</w:t>
            </w:r>
          </w:p>
        </w:tc>
        <w:tc>
          <w:tcPr>
            <w:tcW w:w="1417" w:type="dxa"/>
            <w:vAlign w:val="center"/>
          </w:tcPr>
          <w:p w:rsidR="003619F1" w:rsidRPr="00281168" w:rsidRDefault="003619F1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9F1" w:rsidRPr="00281168" w:rsidRDefault="003619F1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168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  <w:p w:rsidR="003619F1" w:rsidRPr="00281168" w:rsidRDefault="003619F1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2811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3619F1" w:rsidRPr="00281168" w:rsidRDefault="003619F1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9F1" w:rsidRPr="00281168" w:rsidRDefault="003619F1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94,9</w:t>
            </w:r>
          </w:p>
          <w:p w:rsidR="003619F1" w:rsidRPr="00281168" w:rsidRDefault="003619F1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1,1</w:t>
            </w:r>
          </w:p>
        </w:tc>
      </w:tr>
      <w:tr w:rsidR="003619F1" w:rsidTr="009C5101">
        <w:trPr>
          <w:jc w:val="center"/>
        </w:trPr>
        <w:tc>
          <w:tcPr>
            <w:tcW w:w="4361" w:type="dxa"/>
            <w:tcBorders>
              <w:bottom w:val="single" w:sz="2" w:space="0" w:color="auto"/>
            </w:tcBorders>
            <w:vAlign w:val="center"/>
          </w:tcPr>
          <w:p w:rsidR="003619F1" w:rsidRPr="00281168" w:rsidRDefault="003619F1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168">
              <w:rPr>
                <w:rFonts w:ascii="Times New Roman" w:hAnsi="Times New Roman" w:cs="Times New Roman"/>
                <w:b/>
                <w:sz w:val="18"/>
                <w:szCs w:val="18"/>
              </w:rPr>
              <w:t>Malignos</w:t>
            </w:r>
          </w:p>
          <w:p w:rsidR="003619F1" w:rsidRPr="00281168" w:rsidRDefault="003619F1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168">
              <w:rPr>
                <w:rFonts w:ascii="Times New Roman" w:hAnsi="Times New Roman" w:cs="Times New Roman"/>
                <w:sz w:val="18"/>
                <w:szCs w:val="18"/>
              </w:rPr>
              <w:t>Melanoma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3619F1" w:rsidRPr="00281168" w:rsidRDefault="003619F1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9F1" w:rsidRPr="00281168" w:rsidRDefault="003619F1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2811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3619F1" w:rsidRPr="00281168" w:rsidRDefault="003619F1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9F1" w:rsidRPr="00281168" w:rsidRDefault="003619F1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4,0</w:t>
            </w:r>
          </w:p>
        </w:tc>
      </w:tr>
      <w:tr w:rsidR="003619F1" w:rsidTr="009C5101">
        <w:trPr>
          <w:jc w:val="center"/>
        </w:trPr>
        <w:tc>
          <w:tcPr>
            <w:tcW w:w="436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3619F1" w:rsidRPr="00281168" w:rsidRDefault="003619F1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168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3619F1" w:rsidRPr="00281168" w:rsidRDefault="003619F1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3619F1" w:rsidRPr="00281168" w:rsidRDefault="003619F1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</w:tbl>
    <w:p w:rsidR="004407AB" w:rsidRDefault="004407AB"/>
    <w:p w:rsidR="003619F1" w:rsidRDefault="003619F1"/>
    <w:p w:rsidR="003619F1" w:rsidRDefault="003619F1" w:rsidP="003619F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1445F">
        <w:rPr>
          <w:rFonts w:ascii="Times New Roman" w:hAnsi="Times New Roman" w:cs="Times New Roman"/>
        </w:rPr>
        <w:t xml:space="preserve">Quadro VI. Frequência de lesões </w:t>
      </w:r>
      <w:r w:rsidRPr="0091445F">
        <w:rPr>
          <w:rFonts w:ascii="Times New Roman" w:hAnsi="Times New Roman" w:cs="Times New Roman"/>
          <w:i/>
        </w:rPr>
        <w:t>tumor-</w:t>
      </w:r>
      <w:proofErr w:type="spellStart"/>
      <w:r w:rsidRPr="0091445F">
        <w:rPr>
          <w:rFonts w:ascii="Times New Roman" w:hAnsi="Times New Roman" w:cs="Times New Roman"/>
          <w:i/>
        </w:rPr>
        <w:t>like</w:t>
      </w:r>
      <w:proofErr w:type="spellEnd"/>
      <w:r w:rsidRPr="0091445F">
        <w:rPr>
          <w:rFonts w:ascii="Times New Roman" w:hAnsi="Times New Roman" w:cs="Times New Roman"/>
        </w:rPr>
        <w:t xml:space="preserve"> e de tumores com origem nos tecidos moles</w:t>
      </w:r>
    </w:p>
    <w:p w:rsidR="00210013" w:rsidRDefault="00210013" w:rsidP="003619F1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Tabelacomgrelha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417"/>
        <w:gridCol w:w="1701"/>
      </w:tblGrid>
      <w:tr w:rsidR="00210013" w:rsidRPr="00177156" w:rsidTr="009C5101">
        <w:trPr>
          <w:trHeight w:val="220"/>
          <w:jc w:val="center"/>
        </w:trPr>
        <w:tc>
          <w:tcPr>
            <w:tcW w:w="7479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10013" w:rsidRPr="00A7456C" w:rsidRDefault="00210013" w:rsidP="009C51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Lesões tumor-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like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 tumores com origem nos</w:t>
            </w:r>
            <w:r w:rsidRPr="00A7456C">
              <w:rPr>
                <w:rFonts w:ascii="Times New Roman" w:hAnsi="Times New Roman" w:cs="Times New Roman"/>
                <w:b/>
              </w:rPr>
              <w:t xml:space="preserve"> tecidos moles</w:t>
            </w:r>
          </w:p>
        </w:tc>
      </w:tr>
      <w:tr w:rsidR="00210013" w:rsidTr="009C5101">
        <w:trPr>
          <w:trHeight w:val="306"/>
          <w:jc w:val="center"/>
        </w:trPr>
        <w:tc>
          <w:tcPr>
            <w:tcW w:w="4361" w:type="dxa"/>
            <w:tcBorders>
              <w:top w:val="single" w:sz="18" w:space="0" w:color="auto"/>
            </w:tcBorders>
            <w:vAlign w:val="center"/>
          </w:tcPr>
          <w:p w:rsidR="00210013" w:rsidRPr="00A7456C" w:rsidRDefault="00210013" w:rsidP="009C5101">
            <w:pPr>
              <w:rPr>
                <w:rFonts w:ascii="Times New Roman" w:hAnsi="Times New Roman" w:cs="Times New Roman"/>
                <w:b/>
              </w:rPr>
            </w:pPr>
            <w:r w:rsidRPr="00A7456C">
              <w:rPr>
                <w:rFonts w:ascii="Times New Roman" w:hAnsi="Times New Roman" w:cs="Times New Roman"/>
                <w:b/>
              </w:rPr>
              <w:t>Tipo de tumor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210013" w:rsidRPr="00A7456C" w:rsidRDefault="00210013" w:rsidP="009C51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gramStart"/>
            <w:r w:rsidRPr="00A7456C">
              <w:rPr>
                <w:rFonts w:ascii="Times New Roman" w:hAnsi="Times New Roman" w:cs="Times New Roman"/>
                <w:b/>
              </w:rPr>
              <w:t>n</w:t>
            </w:r>
            <w:proofErr w:type="gramEnd"/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210013" w:rsidRPr="00A7456C" w:rsidRDefault="00210013" w:rsidP="009C51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A7456C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210013" w:rsidTr="009C5101">
        <w:trPr>
          <w:jc w:val="center"/>
        </w:trPr>
        <w:tc>
          <w:tcPr>
            <w:tcW w:w="4361" w:type="dxa"/>
            <w:vAlign w:val="center"/>
          </w:tcPr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456C">
              <w:rPr>
                <w:rFonts w:ascii="Times New Roman" w:hAnsi="Times New Roman" w:cs="Times New Roman"/>
                <w:b/>
                <w:sz w:val="18"/>
                <w:szCs w:val="18"/>
              </w:rPr>
              <w:t>Tumores vasculares</w:t>
            </w:r>
          </w:p>
        </w:tc>
        <w:tc>
          <w:tcPr>
            <w:tcW w:w="1417" w:type="dxa"/>
            <w:vAlign w:val="center"/>
          </w:tcPr>
          <w:p w:rsidR="00210013" w:rsidRPr="004749C7" w:rsidRDefault="00210013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4749C7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701" w:type="dxa"/>
            <w:vAlign w:val="center"/>
          </w:tcPr>
          <w:p w:rsidR="00210013" w:rsidRPr="0007296E" w:rsidRDefault="00210013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07296E">
              <w:rPr>
                <w:rFonts w:ascii="Times New Roman" w:hAnsi="Times New Roman" w:cs="Times New Roman"/>
                <w:b/>
                <w:sz w:val="18"/>
                <w:szCs w:val="18"/>
              </w:rPr>
              <w:t>27,8</w:t>
            </w:r>
          </w:p>
        </w:tc>
      </w:tr>
      <w:tr w:rsidR="00210013" w:rsidTr="009C5101">
        <w:trPr>
          <w:jc w:val="center"/>
        </w:trPr>
        <w:tc>
          <w:tcPr>
            <w:tcW w:w="4361" w:type="dxa"/>
            <w:vAlign w:val="center"/>
          </w:tcPr>
          <w:p w:rsidR="00210013" w:rsidRPr="00A7456C" w:rsidRDefault="00210013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456C">
              <w:rPr>
                <w:rFonts w:ascii="Times New Roman" w:hAnsi="Times New Roman" w:cs="Times New Roman"/>
                <w:b/>
                <w:sz w:val="18"/>
                <w:szCs w:val="18"/>
              </w:rPr>
              <w:t>Benignos</w:t>
            </w: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456C">
              <w:rPr>
                <w:rFonts w:ascii="Times New Roman" w:hAnsi="Times New Roman" w:cs="Times New Roman"/>
                <w:sz w:val="18"/>
                <w:szCs w:val="18"/>
              </w:rPr>
              <w:t xml:space="preserve">Hemangioma </w:t>
            </w:r>
          </w:p>
          <w:p w:rsidR="00210013" w:rsidRPr="002F1678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678">
              <w:rPr>
                <w:rFonts w:ascii="Times New Roman" w:hAnsi="Times New Roman" w:cs="Times New Roman"/>
                <w:sz w:val="18"/>
                <w:szCs w:val="18"/>
              </w:rPr>
              <w:t>Variz</w:t>
            </w:r>
          </w:p>
          <w:p w:rsidR="00210013" w:rsidRPr="002F1678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678">
              <w:rPr>
                <w:rFonts w:ascii="Times New Roman" w:hAnsi="Times New Roman" w:cs="Times New Roman"/>
                <w:sz w:val="18"/>
                <w:szCs w:val="18"/>
              </w:rPr>
              <w:t>Linfangioma</w:t>
            </w:r>
          </w:p>
          <w:p w:rsidR="00210013" w:rsidRPr="002F1678" w:rsidRDefault="00210013" w:rsidP="009C510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1678">
              <w:rPr>
                <w:rFonts w:ascii="Times New Roman" w:hAnsi="Times New Roman" w:cs="Times New Roman"/>
                <w:sz w:val="18"/>
                <w:szCs w:val="18"/>
              </w:rPr>
              <w:t xml:space="preserve">Tumor </w:t>
            </w:r>
            <w:proofErr w:type="spellStart"/>
            <w:r w:rsidRPr="002F1678">
              <w:rPr>
                <w:rFonts w:ascii="Times New Roman" w:hAnsi="Times New Roman" w:cs="Times New Roman"/>
                <w:sz w:val="18"/>
                <w:szCs w:val="18"/>
              </w:rPr>
              <w:t>glómico</w:t>
            </w:r>
            <w:proofErr w:type="spellEnd"/>
            <w:r w:rsidRPr="002F16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10013" w:rsidRPr="00A7456C" w:rsidRDefault="00210013" w:rsidP="009C510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456C">
              <w:rPr>
                <w:rFonts w:ascii="Times New Roman" w:hAnsi="Times New Roman" w:cs="Times New Roman"/>
                <w:b/>
                <w:sz w:val="18"/>
                <w:szCs w:val="18"/>
              </w:rPr>
              <w:t>Malignos</w:t>
            </w: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456C">
              <w:rPr>
                <w:rFonts w:ascii="Times New Roman" w:hAnsi="Times New Roman" w:cs="Times New Roman"/>
                <w:sz w:val="18"/>
                <w:szCs w:val="18"/>
              </w:rPr>
              <w:t xml:space="preserve">Sarcoma de </w:t>
            </w:r>
            <w:proofErr w:type="spellStart"/>
            <w:r w:rsidRPr="00A7456C">
              <w:rPr>
                <w:rFonts w:ascii="Times New Roman" w:hAnsi="Times New Roman" w:cs="Times New Roman"/>
                <w:sz w:val="18"/>
                <w:szCs w:val="18"/>
              </w:rPr>
              <w:t>Kaposi</w:t>
            </w:r>
            <w:proofErr w:type="spellEnd"/>
          </w:p>
        </w:tc>
        <w:tc>
          <w:tcPr>
            <w:tcW w:w="1417" w:type="dxa"/>
            <w:vAlign w:val="center"/>
          </w:tcPr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29</w:t>
            </w: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745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745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745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7456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23,0</w:t>
            </w: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0,8</w:t>
            </w: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0,8</w:t>
            </w: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0,8</w:t>
            </w: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7456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</w:tr>
      <w:tr w:rsidR="00210013" w:rsidTr="009C5101">
        <w:trPr>
          <w:jc w:val="center"/>
        </w:trPr>
        <w:tc>
          <w:tcPr>
            <w:tcW w:w="4361" w:type="dxa"/>
            <w:vAlign w:val="center"/>
          </w:tcPr>
          <w:p w:rsidR="00210013" w:rsidRPr="00A7456C" w:rsidRDefault="00210013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456C">
              <w:rPr>
                <w:rFonts w:ascii="Times New Roman" w:hAnsi="Times New Roman" w:cs="Times New Roman"/>
                <w:b/>
                <w:sz w:val="18"/>
                <w:szCs w:val="18"/>
              </w:rPr>
              <w:t>Tumores das bainhas nervosas</w:t>
            </w:r>
          </w:p>
        </w:tc>
        <w:tc>
          <w:tcPr>
            <w:tcW w:w="1417" w:type="dxa"/>
            <w:vAlign w:val="center"/>
          </w:tcPr>
          <w:p w:rsidR="00210013" w:rsidRPr="0007296E" w:rsidRDefault="00210013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07296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210013" w:rsidRPr="0007296E" w:rsidRDefault="00210013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07296E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</w:tr>
      <w:tr w:rsidR="00210013" w:rsidTr="009C5101">
        <w:trPr>
          <w:jc w:val="center"/>
        </w:trPr>
        <w:tc>
          <w:tcPr>
            <w:tcW w:w="4361" w:type="dxa"/>
            <w:vAlign w:val="center"/>
          </w:tcPr>
          <w:p w:rsidR="00210013" w:rsidRPr="00A7456C" w:rsidRDefault="00210013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456C">
              <w:rPr>
                <w:rFonts w:ascii="Times New Roman" w:hAnsi="Times New Roman" w:cs="Times New Roman"/>
                <w:b/>
                <w:sz w:val="18"/>
                <w:szCs w:val="18"/>
              </w:rPr>
              <w:t>Benignos</w:t>
            </w: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456C">
              <w:rPr>
                <w:rFonts w:ascii="Times New Roman" w:hAnsi="Times New Roman" w:cs="Times New Roman"/>
                <w:sz w:val="18"/>
                <w:szCs w:val="18"/>
              </w:rPr>
              <w:t>Neurofibroma</w:t>
            </w:r>
            <w:r w:rsidRPr="00A745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456C">
              <w:rPr>
                <w:rFonts w:ascii="Times New Roman" w:hAnsi="Times New Roman" w:cs="Times New Roman"/>
                <w:b/>
                <w:sz w:val="18"/>
                <w:szCs w:val="18"/>
              </w:rPr>
              <w:t>Malignos</w:t>
            </w: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456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A745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A74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0,8</w:t>
            </w: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A74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0013" w:rsidTr="009C5101">
        <w:trPr>
          <w:jc w:val="center"/>
        </w:trPr>
        <w:tc>
          <w:tcPr>
            <w:tcW w:w="4361" w:type="dxa"/>
            <w:vAlign w:val="center"/>
          </w:tcPr>
          <w:p w:rsidR="00210013" w:rsidRPr="00A7456C" w:rsidRDefault="00210013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Tumores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xantomatoso</w:t>
            </w:r>
            <w:r w:rsidRPr="00A7456C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417" w:type="dxa"/>
            <w:vAlign w:val="center"/>
          </w:tcPr>
          <w:p w:rsidR="00210013" w:rsidRPr="0007296E" w:rsidRDefault="00210013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07296E"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</w:p>
        </w:tc>
        <w:tc>
          <w:tcPr>
            <w:tcW w:w="1701" w:type="dxa"/>
            <w:vAlign w:val="center"/>
          </w:tcPr>
          <w:p w:rsidR="00210013" w:rsidRPr="0007296E" w:rsidRDefault="00210013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07296E">
              <w:rPr>
                <w:rFonts w:ascii="Times New Roman" w:hAnsi="Times New Roman" w:cs="Times New Roman"/>
                <w:b/>
                <w:sz w:val="18"/>
                <w:szCs w:val="18"/>
              </w:rPr>
              <w:t>71,4</w:t>
            </w:r>
          </w:p>
        </w:tc>
      </w:tr>
      <w:tr w:rsidR="00210013" w:rsidTr="009C5101">
        <w:trPr>
          <w:jc w:val="center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:rsidR="00210013" w:rsidRPr="000573F7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456C">
              <w:rPr>
                <w:rFonts w:ascii="Times New Roman" w:hAnsi="Times New Roman" w:cs="Times New Roman"/>
                <w:sz w:val="18"/>
                <w:szCs w:val="18"/>
              </w:rPr>
              <w:t>Xantelasma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7456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71,4</w:t>
            </w:r>
          </w:p>
        </w:tc>
      </w:tr>
      <w:tr w:rsidR="00210013" w:rsidTr="009C5101">
        <w:trPr>
          <w:jc w:val="center"/>
        </w:trPr>
        <w:tc>
          <w:tcPr>
            <w:tcW w:w="4361" w:type="dxa"/>
            <w:tcBorders>
              <w:bottom w:val="single" w:sz="18" w:space="0" w:color="auto"/>
            </w:tcBorders>
            <w:vAlign w:val="center"/>
          </w:tcPr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210013" w:rsidRPr="00A7456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</w:tbl>
    <w:p w:rsidR="003619F1" w:rsidRDefault="003619F1"/>
    <w:p w:rsidR="00210013" w:rsidRDefault="00210013" w:rsidP="0021001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B7A2F">
        <w:rPr>
          <w:rFonts w:ascii="Times New Roman" w:hAnsi="Times New Roman" w:cs="Times New Roman"/>
        </w:rPr>
        <w:t xml:space="preserve">Quadro VII. Frequência de tumores </w:t>
      </w:r>
      <w:proofErr w:type="spellStart"/>
      <w:r w:rsidRPr="007B7A2F">
        <w:rPr>
          <w:rFonts w:ascii="Times New Roman" w:hAnsi="Times New Roman" w:cs="Times New Roman"/>
        </w:rPr>
        <w:t>linfóides</w:t>
      </w:r>
      <w:proofErr w:type="spellEnd"/>
      <w:r w:rsidRPr="007B7A2F">
        <w:rPr>
          <w:rFonts w:ascii="Times New Roman" w:hAnsi="Times New Roman" w:cs="Times New Roman"/>
        </w:rPr>
        <w:t xml:space="preserve"> ou </w:t>
      </w:r>
      <w:proofErr w:type="spellStart"/>
      <w:r w:rsidRPr="007B7A2F">
        <w:rPr>
          <w:rFonts w:ascii="Times New Roman" w:hAnsi="Times New Roman" w:cs="Times New Roman"/>
        </w:rPr>
        <w:t>hematopoiéticos</w:t>
      </w:r>
      <w:proofErr w:type="spellEnd"/>
    </w:p>
    <w:p w:rsidR="00E63F53" w:rsidRDefault="00E63F53" w:rsidP="00210013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Tabelacomgrelha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417"/>
        <w:gridCol w:w="1701"/>
      </w:tblGrid>
      <w:tr w:rsidR="00210013" w:rsidRPr="00177156" w:rsidTr="009C5101">
        <w:trPr>
          <w:trHeight w:val="262"/>
          <w:jc w:val="center"/>
        </w:trPr>
        <w:tc>
          <w:tcPr>
            <w:tcW w:w="7479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10013" w:rsidRPr="00A7456C" w:rsidRDefault="00210013" w:rsidP="009C51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56C">
              <w:rPr>
                <w:rFonts w:ascii="Times New Roman" w:hAnsi="Times New Roman" w:cs="Times New Roman"/>
                <w:b/>
              </w:rPr>
              <w:t>Tumo</w:t>
            </w:r>
            <w:r>
              <w:rPr>
                <w:rFonts w:ascii="Times New Roman" w:hAnsi="Times New Roman" w:cs="Times New Roman"/>
                <w:b/>
              </w:rPr>
              <w:t xml:space="preserve">res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linfó</w:t>
            </w:r>
            <w:r w:rsidRPr="00A7456C">
              <w:rPr>
                <w:rFonts w:ascii="Times New Roman" w:hAnsi="Times New Roman" w:cs="Times New Roman"/>
                <w:b/>
              </w:rPr>
              <w:t>ides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hematopoiéticos</w:t>
            </w:r>
            <w:proofErr w:type="spellEnd"/>
          </w:p>
        </w:tc>
      </w:tr>
      <w:tr w:rsidR="00210013" w:rsidTr="009C5101">
        <w:trPr>
          <w:trHeight w:val="397"/>
          <w:jc w:val="center"/>
        </w:trPr>
        <w:tc>
          <w:tcPr>
            <w:tcW w:w="4361" w:type="dxa"/>
            <w:tcBorders>
              <w:top w:val="single" w:sz="18" w:space="0" w:color="auto"/>
            </w:tcBorders>
            <w:vAlign w:val="center"/>
          </w:tcPr>
          <w:p w:rsidR="00210013" w:rsidRPr="00A7456C" w:rsidRDefault="00210013" w:rsidP="009C5101">
            <w:pPr>
              <w:rPr>
                <w:rFonts w:ascii="Times New Roman" w:hAnsi="Times New Roman" w:cs="Times New Roman"/>
                <w:b/>
              </w:rPr>
            </w:pPr>
            <w:r w:rsidRPr="00A7456C">
              <w:rPr>
                <w:rFonts w:ascii="Times New Roman" w:hAnsi="Times New Roman" w:cs="Times New Roman"/>
                <w:b/>
              </w:rPr>
              <w:t>Tipo de tumor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210013" w:rsidRPr="00A7456C" w:rsidRDefault="00210013" w:rsidP="009C51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gramStart"/>
            <w:r w:rsidRPr="00A7456C">
              <w:rPr>
                <w:rFonts w:ascii="Times New Roman" w:hAnsi="Times New Roman" w:cs="Times New Roman"/>
                <w:b/>
              </w:rPr>
              <w:t>n</w:t>
            </w:r>
            <w:proofErr w:type="gramEnd"/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210013" w:rsidRPr="00A7456C" w:rsidRDefault="00210013" w:rsidP="009C51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A7456C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210013" w:rsidTr="009C5101">
        <w:trPr>
          <w:jc w:val="center"/>
        </w:trPr>
        <w:tc>
          <w:tcPr>
            <w:tcW w:w="4361" w:type="dxa"/>
            <w:vAlign w:val="center"/>
          </w:tcPr>
          <w:p w:rsidR="00210013" w:rsidRPr="007502EC" w:rsidRDefault="00210013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2EC">
              <w:rPr>
                <w:rFonts w:ascii="Times New Roman" w:hAnsi="Times New Roman" w:cs="Times New Roman"/>
                <w:b/>
                <w:sz w:val="18"/>
                <w:szCs w:val="18"/>
              </w:rPr>
              <w:t>Benignos</w:t>
            </w:r>
          </w:p>
          <w:p w:rsidR="00210013" w:rsidRPr="007502E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Hiperplasia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linfó</w:t>
            </w:r>
            <w:r w:rsidRPr="007502EC">
              <w:rPr>
                <w:rFonts w:ascii="Times New Roman" w:hAnsi="Times New Roman" w:cs="Times New Roman"/>
                <w:sz w:val="18"/>
                <w:szCs w:val="18"/>
              </w:rPr>
              <w:t>ide</w:t>
            </w:r>
            <w:proofErr w:type="spellEnd"/>
            <w:r w:rsidRPr="007502EC">
              <w:rPr>
                <w:rFonts w:ascii="Times New Roman" w:hAnsi="Times New Roman" w:cs="Times New Roman"/>
                <w:sz w:val="18"/>
                <w:szCs w:val="18"/>
              </w:rPr>
              <w:t xml:space="preserve"> benigna</w:t>
            </w:r>
          </w:p>
        </w:tc>
        <w:tc>
          <w:tcPr>
            <w:tcW w:w="1417" w:type="dxa"/>
            <w:vAlign w:val="center"/>
          </w:tcPr>
          <w:p w:rsidR="00210013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0013" w:rsidRPr="007502E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</w:t>
            </w:r>
          </w:p>
        </w:tc>
        <w:tc>
          <w:tcPr>
            <w:tcW w:w="1701" w:type="dxa"/>
            <w:vAlign w:val="center"/>
          </w:tcPr>
          <w:p w:rsidR="00210013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0013" w:rsidRPr="007502E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33,3</w:t>
            </w:r>
          </w:p>
        </w:tc>
      </w:tr>
      <w:tr w:rsidR="00210013" w:rsidTr="009C5101">
        <w:trPr>
          <w:jc w:val="center"/>
        </w:trPr>
        <w:tc>
          <w:tcPr>
            <w:tcW w:w="4361" w:type="dxa"/>
            <w:tcBorders>
              <w:bottom w:val="single" w:sz="2" w:space="0" w:color="auto"/>
            </w:tcBorders>
            <w:vAlign w:val="center"/>
          </w:tcPr>
          <w:p w:rsidR="00210013" w:rsidRPr="007502EC" w:rsidRDefault="00210013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02EC">
              <w:rPr>
                <w:rFonts w:ascii="Times New Roman" w:hAnsi="Times New Roman" w:cs="Times New Roman"/>
                <w:b/>
                <w:sz w:val="18"/>
                <w:szCs w:val="18"/>
              </w:rPr>
              <w:t>Malignos</w:t>
            </w:r>
          </w:p>
          <w:p w:rsidR="00210013" w:rsidRPr="007502E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02EC">
              <w:rPr>
                <w:rFonts w:ascii="Times New Roman" w:hAnsi="Times New Roman" w:cs="Times New Roman"/>
                <w:sz w:val="18"/>
                <w:szCs w:val="18"/>
              </w:rPr>
              <w:t>Linfoma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210013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0013" w:rsidRPr="007502E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8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210013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0013" w:rsidRPr="007502E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66,7</w:t>
            </w:r>
          </w:p>
        </w:tc>
      </w:tr>
      <w:tr w:rsidR="00210013" w:rsidTr="009C5101">
        <w:trPr>
          <w:jc w:val="center"/>
        </w:trPr>
        <w:tc>
          <w:tcPr>
            <w:tcW w:w="436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10013" w:rsidRPr="007502E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02EC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10013" w:rsidRPr="007502E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10013" w:rsidRPr="007502EC" w:rsidRDefault="0021001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</w:tbl>
    <w:p w:rsidR="00210013" w:rsidRDefault="00210013"/>
    <w:p w:rsidR="00E63F53" w:rsidRDefault="00E63F53" w:rsidP="00E63F53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3D3BB6">
        <w:rPr>
          <w:rFonts w:ascii="Times New Roman" w:hAnsi="Times New Roman" w:cs="Times New Roman"/>
        </w:rPr>
        <w:t xml:space="preserve">Quadro VIII. Frequência de outros tipos de tumores palpebrais e lesões inflamatórias </w:t>
      </w:r>
      <w:r w:rsidRPr="003D3BB6">
        <w:rPr>
          <w:rFonts w:ascii="Times New Roman" w:hAnsi="Times New Roman" w:cs="Times New Roman"/>
          <w:i/>
        </w:rPr>
        <w:t>tumor-</w:t>
      </w:r>
      <w:proofErr w:type="spellStart"/>
      <w:r w:rsidRPr="003D3BB6">
        <w:rPr>
          <w:rFonts w:ascii="Times New Roman" w:hAnsi="Times New Roman" w:cs="Times New Roman"/>
          <w:i/>
        </w:rPr>
        <w:t>like</w:t>
      </w:r>
      <w:proofErr w:type="spellEnd"/>
    </w:p>
    <w:p w:rsidR="00E63F53" w:rsidRDefault="00E63F53" w:rsidP="00E63F53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tbl>
      <w:tblPr>
        <w:tblStyle w:val="Tabelacomgrelha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417"/>
        <w:gridCol w:w="1701"/>
      </w:tblGrid>
      <w:tr w:rsidR="00E63F53" w:rsidRPr="007502EC" w:rsidTr="009C5101">
        <w:trPr>
          <w:trHeight w:val="184"/>
          <w:jc w:val="center"/>
        </w:trPr>
        <w:tc>
          <w:tcPr>
            <w:tcW w:w="7479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63F53" w:rsidRPr="007502EC" w:rsidRDefault="00E63F53" w:rsidP="009C51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2EC">
              <w:rPr>
                <w:rFonts w:ascii="Times New Roman" w:hAnsi="Times New Roman" w:cs="Times New Roman"/>
                <w:b/>
              </w:rPr>
              <w:t>Outros tipos de tumores palpebrais e lesões inflamatórias tumor-</w:t>
            </w:r>
            <w:proofErr w:type="spellStart"/>
            <w:r w:rsidRPr="007502EC">
              <w:rPr>
                <w:rFonts w:ascii="Times New Roman" w:hAnsi="Times New Roman" w:cs="Times New Roman"/>
                <w:b/>
              </w:rPr>
              <w:t>like</w:t>
            </w:r>
            <w:proofErr w:type="spellEnd"/>
          </w:p>
        </w:tc>
      </w:tr>
      <w:tr w:rsidR="00E63F53" w:rsidRPr="007502EC" w:rsidTr="009C5101">
        <w:trPr>
          <w:trHeight w:val="316"/>
          <w:jc w:val="center"/>
        </w:trPr>
        <w:tc>
          <w:tcPr>
            <w:tcW w:w="4361" w:type="dxa"/>
            <w:tcBorders>
              <w:top w:val="single" w:sz="18" w:space="0" w:color="auto"/>
            </w:tcBorders>
            <w:vAlign w:val="center"/>
          </w:tcPr>
          <w:p w:rsidR="00E63F53" w:rsidRPr="007502EC" w:rsidRDefault="00E63F53" w:rsidP="009C5101">
            <w:pPr>
              <w:rPr>
                <w:rFonts w:ascii="Times New Roman" w:hAnsi="Times New Roman" w:cs="Times New Roman"/>
                <w:b/>
              </w:rPr>
            </w:pPr>
            <w:r w:rsidRPr="007502EC">
              <w:rPr>
                <w:rFonts w:ascii="Times New Roman" w:hAnsi="Times New Roman" w:cs="Times New Roman"/>
                <w:b/>
              </w:rPr>
              <w:t>Tipo de tumor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E63F53" w:rsidRPr="007502EC" w:rsidRDefault="00E63F53" w:rsidP="009C51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gramStart"/>
            <w:r w:rsidRPr="007502EC">
              <w:rPr>
                <w:rFonts w:ascii="Times New Roman" w:hAnsi="Times New Roman" w:cs="Times New Roman"/>
                <w:b/>
              </w:rPr>
              <w:t>n</w:t>
            </w:r>
            <w:proofErr w:type="gramEnd"/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E63F53" w:rsidRPr="007502EC" w:rsidRDefault="00E63F53" w:rsidP="009C51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7502EC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E63F53" w:rsidTr="009C5101">
        <w:trPr>
          <w:jc w:val="center"/>
        </w:trPr>
        <w:tc>
          <w:tcPr>
            <w:tcW w:w="4361" w:type="dxa"/>
            <w:vAlign w:val="center"/>
          </w:tcPr>
          <w:p w:rsidR="00E63F53" w:rsidRDefault="00E63F53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1C0">
              <w:rPr>
                <w:rFonts w:ascii="Times New Roman" w:hAnsi="Times New Roman" w:cs="Times New Roman"/>
                <w:b/>
                <w:sz w:val="18"/>
                <w:szCs w:val="18"/>
              </w:rPr>
              <w:t>Benignos</w:t>
            </w:r>
          </w:p>
          <w:p w:rsidR="00E63F53" w:rsidRPr="000121C0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Chalá</w:t>
            </w:r>
            <w:r w:rsidRPr="000121C0">
              <w:rPr>
                <w:rFonts w:ascii="Times New Roman" w:hAnsi="Times New Roman" w:cs="Times New Roman"/>
                <w:sz w:val="18"/>
                <w:szCs w:val="18"/>
              </w:rPr>
              <w:t>zio</w:t>
            </w:r>
          </w:p>
          <w:p w:rsidR="00E63F53" w:rsidRPr="002F1678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678">
              <w:rPr>
                <w:rFonts w:ascii="Times New Roman" w:hAnsi="Times New Roman" w:cs="Times New Roman"/>
                <w:sz w:val="18"/>
                <w:szCs w:val="18"/>
              </w:rPr>
              <w:t xml:space="preserve">Hordéolo </w:t>
            </w:r>
          </w:p>
          <w:p w:rsidR="00E63F53" w:rsidRPr="000121C0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1C0">
              <w:rPr>
                <w:rFonts w:ascii="Times New Roman" w:hAnsi="Times New Roman" w:cs="Times New Roman"/>
                <w:sz w:val="18"/>
                <w:szCs w:val="18"/>
              </w:rPr>
              <w:t xml:space="preserve">Granuloma </w:t>
            </w:r>
            <w:proofErr w:type="spellStart"/>
            <w:r w:rsidRPr="000121C0">
              <w:rPr>
                <w:rFonts w:ascii="Times New Roman" w:hAnsi="Times New Roman" w:cs="Times New Roman"/>
                <w:sz w:val="18"/>
                <w:szCs w:val="18"/>
              </w:rPr>
              <w:t>piogénico</w:t>
            </w:r>
            <w:proofErr w:type="spellEnd"/>
          </w:p>
          <w:p w:rsidR="00E63F53" w:rsidRPr="000121C0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1C0">
              <w:rPr>
                <w:rFonts w:ascii="Times New Roman" w:hAnsi="Times New Roman" w:cs="Times New Roman"/>
                <w:sz w:val="18"/>
                <w:szCs w:val="18"/>
              </w:rPr>
              <w:t>Hamartomas</w:t>
            </w:r>
            <w:proofErr w:type="spellEnd"/>
          </w:p>
          <w:p w:rsidR="00E63F53" w:rsidRPr="002F1678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678">
              <w:rPr>
                <w:rFonts w:ascii="Times New Roman" w:hAnsi="Times New Roman" w:cs="Times New Roman"/>
                <w:sz w:val="18"/>
                <w:szCs w:val="18"/>
              </w:rPr>
              <w:t>Quisto dermóide</w:t>
            </w:r>
          </w:p>
          <w:p w:rsidR="00E63F53" w:rsidRPr="002F1678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678">
              <w:rPr>
                <w:rFonts w:ascii="Times New Roman" w:hAnsi="Times New Roman" w:cs="Times New Roman"/>
                <w:sz w:val="18"/>
                <w:szCs w:val="18"/>
              </w:rPr>
              <w:t>Quisto epidérmico</w:t>
            </w:r>
          </w:p>
          <w:p w:rsidR="00E63F53" w:rsidRPr="002F1678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678">
              <w:rPr>
                <w:rFonts w:ascii="Times New Roman" w:hAnsi="Times New Roman" w:cs="Times New Roman"/>
                <w:sz w:val="18"/>
                <w:szCs w:val="18"/>
              </w:rPr>
              <w:t>Quisto sebáceo</w:t>
            </w:r>
          </w:p>
          <w:p w:rsidR="00E63F53" w:rsidRPr="000121C0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678">
              <w:rPr>
                <w:rFonts w:ascii="Times New Roman" w:hAnsi="Times New Roman" w:cs="Times New Roman"/>
                <w:sz w:val="18"/>
                <w:szCs w:val="18"/>
              </w:rPr>
              <w:t xml:space="preserve">Quisto </w:t>
            </w:r>
            <w:proofErr w:type="spellStart"/>
            <w:r w:rsidRPr="002F1678">
              <w:rPr>
                <w:rFonts w:ascii="Times New Roman" w:hAnsi="Times New Roman" w:cs="Times New Roman"/>
                <w:sz w:val="18"/>
                <w:szCs w:val="18"/>
              </w:rPr>
              <w:t>hemático</w:t>
            </w:r>
            <w:proofErr w:type="spellEnd"/>
          </w:p>
        </w:tc>
        <w:tc>
          <w:tcPr>
            <w:tcW w:w="1417" w:type="dxa"/>
            <w:vAlign w:val="center"/>
          </w:tcPr>
          <w:p w:rsidR="00E63F53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F53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  <w:p w:rsidR="00E63F53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2</w:t>
            </w:r>
          </w:p>
          <w:p w:rsidR="00E63F53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49</w:t>
            </w:r>
          </w:p>
          <w:p w:rsidR="00E63F53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2</w:t>
            </w:r>
          </w:p>
          <w:p w:rsidR="00E63F53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19</w:t>
            </w:r>
          </w:p>
          <w:p w:rsidR="00E63F53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51</w:t>
            </w:r>
          </w:p>
          <w:p w:rsidR="00E63F53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  <w:p w:rsidR="00E63F53" w:rsidRPr="000121C0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1</w:t>
            </w:r>
          </w:p>
        </w:tc>
        <w:tc>
          <w:tcPr>
            <w:tcW w:w="1701" w:type="dxa"/>
            <w:vAlign w:val="center"/>
          </w:tcPr>
          <w:p w:rsidR="00E63F53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F53" w:rsidRPr="00D07B2F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34,8</w:t>
            </w:r>
          </w:p>
          <w:p w:rsidR="00E63F53" w:rsidRPr="00D07B2F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D07B2F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  <w:p w:rsidR="00E63F53" w:rsidRPr="00D07B2F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13,2</w:t>
            </w:r>
          </w:p>
          <w:p w:rsidR="00E63F53" w:rsidRPr="00D07B2F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D07B2F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  <w:p w:rsidR="00E63F53" w:rsidRPr="00D07B2F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5,1</w:t>
            </w:r>
          </w:p>
          <w:p w:rsidR="00E63F53" w:rsidRPr="00D07B2F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13,7</w:t>
            </w:r>
          </w:p>
          <w:p w:rsidR="00E63F53" w:rsidRPr="00D07B2F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31</w:t>
            </w:r>
            <w:r w:rsidRPr="00D07B2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E63F53" w:rsidRPr="000121C0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0,3</w:t>
            </w:r>
          </w:p>
        </w:tc>
      </w:tr>
      <w:tr w:rsidR="00E63F53" w:rsidTr="009C5101">
        <w:trPr>
          <w:jc w:val="center"/>
        </w:trPr>
        <w:tc>
          <w:tcPr>
            <w:tcW w:w="4361" w:type="dxa"/>
            <w:tcBorders>
              <w:bottom w:val="single" w:sz="2" w:space="0" w:color="auto"/>
            </w:tcBorders>
            <w:vAlign w:val="center"/>
          </w:tcPr>
          <w:p w:rsidR="00E63F53" w:rsidRPr="000121C0" w:rsidRDefault="00E63F53" w:rsidP="009C510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21C0">
              <w:rPr>
                <w:rFonts w:ascii="Times New Roman" w:hAnsi="Times New Roman" w:cs="Times New Roman"/>
                <w:b/>
                <w:sz w:val="18"/>
                <w:szCs w:val="18"/>
              </w:rPr>
              <w:t>Malignos</w:t>
            </w:r>
          </w:p>
          <w:p w:rsidR="00E63F53" w:rsidRPr="000121C0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E63F53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F53" w:rsidRPr="000121C0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-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E63F53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F53" w:rsidRPr="000121C0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-</w:t>
            </w:r>
          </w:p>
        </w:tc>
      </w:tr>
      <w:tr w:rsidR="00E63F53" w:rsidTr="009C5101">
        <w:trPr>
          <w:jc w:val="center"/>
        </w:trPr>
        <w:tc>
          <w:tcPr>
            <w:tcW w:w="436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E63F53" w:rsidRPr="000121C0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1C0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E63F53" w:rsidRPr="000121C0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E63F53" w:rsidRPr="000121C0" w:rsidRDefault="00E63F53" w:rsidP="009C51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</w:tbl>
    <w:p w:rsidR="00E63F53" w:rsidRDefault="00E63F53"/>
    <w:p w:rsidR="00DB367F" w:rsidRDefault="00DB367F"/>
    <w:p w:rsidR="00941CFE" w:rsidRDefault="00941CFE" w:rsidP="00941CFE">
      <w:pPr>
        <w:jc w:val="center"/>
      </w:pPr>
    </w:p>
    <w:p w:rsidR="00941CFE" w:rsidRDefault="00941CFE" w:rsidP="009C5101"/>
    <w:p w:rsidR="00D922FF" w:rsidRDefault="00D922FF" w:rsidP="00941CFE">
      <w:pPr>
        <w:jc w:val="center"/>
      </w:pPr>
    </w:p>
    <w:p w:rsidR="007E5539" w:rsidRDefault="007E5539" w:rsidP="007E5539">
      <w:pPr>
        <w:spacing w:line="240" w:lineRule="auto"/>
        <w:jc w:val="center"/>
        <w:rPr>
          <w:rFonts w:ascii="Times New Roman" w:hAnsi="Times New Roman" w:cs="Times New Roman"/>
        </w:rPr>
      </w:pPr>
      <w:r w:rsidRPr="00340964">
        <w:rPr>
          <w:rFonts w:ascii="Times New Roman" w:hAnsi="Times New Roman" w:cs="Times New Roman"/>
        </w:rPr>
        <w:t>Quadro IX. Idade média, mínima e máxima do diagnóstico no geral, e diferenciada po</w:t>
      </w:r>
      <w:r>
        <w:rPr>
          <w:rFonts w:ascii="Times New Roman" w:hAnsi="Times New Roman" w:cs="Times New Roman"/>
        </w:rPr>
        <w:t xml:space="preserve">r tumores benignos e malignos. </w:t>
      </w:r>
    </w:p>
    <w:tbl>
      <w:tblPr>
        <w:tblW w:w="84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73"/>
        <w:gridCol w:w="1194"/>
        <w:gridCol w:w="1195"/>
        <w:gridCol w:w="1683"/>
        <w:gridCol w:w="1683"/>
        <w:gridCol w:w="1683"/>
      </w:tblGrid>
      <w:tr w:rsidR="00D922FF" w:rsidRPr="00CE73E3" w:rsidTr="009C5101">
        <w:trPr>
          <w:cantSplit/>
          <w:jc w:val="center"/>
        </w:trPr>
        <w:tc>
          <w:tcPr>
            <w:tcW w:w="993" w:type="dxa"/>
            <w:gridSpan w:val="2"/>
            <w:tcBorders>
              <w:top w:val="single" w:sz="18" w:space="0" w:color="auto"/>
              <w:bottom w:val="single" w:sz="6" w:space="0" w:color="000000"/>
            </w:tcBorders>
            <w:shd w:val="clear" w:color="auto" w:fill="FFFFFF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</w:pPr>
          </w:p>
        </w:tc>
        <w:tc>
          <w:tcPr>
            <w:tcW w:w="1194" w:type="dxa"/>
            <w:tcBorders>
              <w:top w:val="single" w:sz="18" w:space="0" w:color="auto"/>
              <w:bottom w:val="single" w:sz="6" w:space="0" w:color="000000"/>
            </w:tcBorders>
            <w:shd w:val="clear" w:color="auto" w:fill="FFFFFF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</w:pPr>
          </w:p>
        </w:tc>
        <w:tc>
          <w:tcPr>
            <w:tcW w:w="1195" w:type="dxa"/>
            <w:tcBorders>
              <w:top w:val="single" w:sz="18" w:space="0" w:color="auto"/>
              <w:bottom w:val="single" w:sz="6" w:space="0" w:color="000000"/>
            </w:tcBorders>
            <w:shd w:val="clear" w:color="auto" w:fill="FFFFFF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pt-PT"/>
              </w:rPr>
            </w:pPr>
            <w:r w:rsidRPr="00CE73E3">
              <w:rPr>
                <w:rFonts w:ascii="Times New Roman" w:eastAsiaTheme="minorEastAsia" w:hAnsi="Times New Roman" w:cs="Times New Roman"/>
                <w:b/>
                <w:color w:val="000000"/>
                <w:lang w:eastAsia="pt-PT"/>
              </w:rPr>
              <w:t>Média</w:t>
            </w:r>
          </w:p>
        </w:tc>
        <w:tc>
          <w:tcPr>
            <w:tcW w:w="1683" w:type="dxa"/>
            <w:tcBorders>
              <w:top w:val="single" w:sz="18" w:space="0" w:color="auto"/>
              <w:bottom w:val="single" w:sz="6" w:space="0" w:color="000000"/>
            </w:tcBorders>
            <w:shd w:val="clear" w:color="auto" w:fill="FFFFFF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pt-PT"/>
              </w:rPr>
            </w:pPr>
            <w:r w:rsidRPr="00CE73E3">
              <w:rPr>
                <w:rFonts w:ascii="Times New Roman" w:eastAsiaTheme="minorEastAsia" w:hAnsi="Times New Roman" w:cs="Times New Roman"/>
                <w:b/>
                <w:color w:val="000000"/>
                <w:lang w:eastAsia="pt-PT"/>
              </w:rPr>
              <w:t>Desvio Padrão</w:t>
            </w:r>
          </w:p>
        </w:tc>
        <w:tc>
          <w:tcPr>
            <w:tcW w:w="1683" w:type="dxa"/>
            <w:tcBorders>
              <w:top w:val="single" w:sz="18" w:space="0" w:color="auto"/>
              <w:bottom w:val="single" w:sz="6" w:space="0" w:color="000000"/>
            </w:tcBorders>
            <w:shd w:val="clear" w:color="auto" w:fill="FFFFFF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pt-PT"/>
              </w:rPr>
            </w:pPr>
            <w:r w:rsidRPr="00CE73E3">
              <w:rPr>
                <w:rFonts w:ascii="Times New Roman" w:eastAsiaTheme="minorEastAsia" w:hAnsi="Times New Roman" w:cs="Times New Roman"/>
                <w:b/>
                <w:color w:val="000000"/>
                <w:lang w:eastAsia="pt-PT"/>
              </w:rPr>
              <w:t>Mínimo</w:t>
            </w:r>
          </w:p>
        </w:tc>
        <w:tc>
          <w:tcPr>
            <w:tcW w:w="1683" w:type="dxa"/>
            <w:tcBorders>
              <w:top w:val="single" w:sz="18" w:space="0" w:color="auto"/>
              <w:bottom w:val="single" w:sz="6" w:space="0" w:color="000000"/>
            </w:tcBorders>
            <w:shd w:val="clear" w:color="auto" w:fill="FFFFFF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pt-PT"/>
              </w:rPr>
            </w:pPr>
            <w:r w:rsidRPr="00CE73E3">
              <w:rPr>
                <w:rFonts w:ascii="Times New Roman" w:eastAsiaTheme="minorEastAsia" w:hAnsi="Times New Roman" w:cs="Times New Roman"/>
                <w:b/>
                <w:color w:val="000000"/>
                <w:lang w:eastAsia="pt-PT"/>
              </w:rPr>
              <w:t>Máximo</w:t>
            </w:r>
          </w:p>
        </w:tc>
      </w:tr>
      <w:tr w:rsidR="00D922FF" w:rsidRPr="00CE73E3" w:rsidTr="009C5101">
        <w:trPr>
          <w:gridBefore w:val="1"/>
          <w:wBefore w:w="20" w:type="dxa"/>
          <w:cantSplit/>
          <w:jc w:val="center"/>
        </w:trPr>
        <w:tc>
          <w:tcPr>
            <w:tcW w:w="9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EastAsia" w:hAnsi="Times New Roman" w:cs="Times New Roman"/>
                <w:b/>
                <w:color w:val="000000"/>
                <w:lang w:eastAsia="pt-PT"/>
              </w:rPr>
            </w:pPr>
            <w:r w:rsidRPr="00CE73E3">
              <w:rPr>
                <w:rFonts w:ascii="Times New Roman" w:eastAsiaTheme="minorEastAsia" w:hAnsi="Times New Roman" w:cs="Times New Roman"/>
                <w:b/>
                <w:color w:val="000000"/>
                <w:lang w:eastAsia="pt-PT"/>
              </w:rPr>
              <w:t>Geral</w:t>
            </w:r>
          </w:p>
        </w:tc>
        <w:tc>
          <w:tcPr>
            <w:tcW w:w="119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Theme="minorEastAsia" w:hAnsi="Times New Roman" w:cs="Times New Roman"/>
                <w:b/>
                <w:color w:val="000000"/>
                <w:lang w:eastAsia="pt-PT"/>
              </w:rPr>
            </w:pPr>
          </w:p>
        </w:tc>
        <w:tc>
          <w:tcPr>
            <w:tcW w:w="11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</w:pPr>
            <w:r w:rsidRPr="00CE73E3"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  <w:t>59,42</w:t>
            </w:r>
          </w:p>
        </w:tc>
        <w:tc>
          <w:tcPr>
            <w:tcW w:w="16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</w:pPr>
            <w:r w:rsidRPr="00CE73E3"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  <w:t>18,139</w:t>
            </w:r>
          </w:p>
        </w:tc>
        <w:tc>
          <w:tcPr>
            <w:tcW w:w="16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  <w:t xml:space="preserve">  </w:t>
            </w:r>
            <w:r w:rsidRPr="00CE73E3"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  <w:t>1</w:t>
            </w:r>
          </w:p>
        </w:tc>
        <w:tc>
          <w:tcPr>
            <w:tcW w:w="16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</w:pPr>
            <w:r w:rsidRPr="00CE73E3"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  <w:t>97</w:t>
            </w:r>
          </w:p>
        </w:tc>
      </w:tr>
      <w:tr w:rsidR="00D922FF" w:rsidRPr="00CE73E3" w:rsidTr="009C5101">
        <w:trPr>
          <w:gridBefore w:val="1"/>
          <w:wBefore w:w="20" w:type="dxa"/>
          <w:cantSplit/>
          <w:jc w:val="center"/>
        </w:trPr>
        <w:tc>
          <w:tcPr>
            <w:tcW w:w="973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EastAsia" w:hAnsi="Times New Roman" w:cs="Times New Roman"/>
                <w:b/>
                <w:color w:val="000000"/>
                <w:lang w:eastAsia="pt-PT"/>
              </w:rPr>
            </w:pPr>
            <w:proofErr w:type="spellStart"/>
            <w:r w:rsidRPr="00CE73E3">
              <w:rPr>
                <w:rFonts w:ascii="Times New Roman" w:eastAsiaTheme="minorEastAsia" w:hAnsi="Times New Roman" w:cs="Times New Roman"/>
                <w:b/>
                <w:color w:val="000000"/>
                <w:lang w:eastAsia="pt-PT"/>
              </w:rPr>
              <w:t>Diag</w:t>
            </w:r>
            <w:proofErr w:type="spellEnd"/>
            <w:r w:rsidRPr="00CE73E3">
              <w:rPr>
                <w:rFonts w:ascii="Times New Roman" w:eastAsiaTheme="minorEastAsia" w:hAnsi="Times New Roman" w:cs="Times New Roman"/>
                <w:b/>
                <w:color w:val="000000"/>
                <w:lang w:eastAsia="pt-PT"/>
              </w:rPr>
              <w:t>. AP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EastAsia" w:hAnsi="Times New Roman" w:cs="Times New Roman"/>
                <w:b/>
                <w:color w:val="000000"/>
                <w:lang w:eastAsia="pt-PT"/>
              </w:rPr>
            </w:pPr>
            <w:r w:rsidRPr="00CE73E3">
              <w:rPr>
                <w:rFonts w:ascii="Times New Roman" w:eastAsiaTheme="minorEastAsia" w:hAnsi="Times New Roman" w:cs="Times New Roman"/>
                <w:b/>
                <w:color w:val="000000"/>
                <w:lang w:eastAsia="pt-PT"/>
              </w:rPr>
              <w:t>Benigno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</w:pPr>
            <w:r w:rsidRPr="00CE73E3"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  <w:t>56,75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</w:pPr>
            <w:r w:rsidRPr="00CE73E3"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  <w:t>18,322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  <w:t xml:space="preserve">  </w:t>
            </w:r>
            <w:r w:rsidRPr="00CE73E3"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</w:pPr>
            <w:r w:rsidRPr="00CE73E3"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  <w:t>94</w:t>
            </w:r>
          </w:p>
        </w:tc>
      </w:tr>
      <w:tr w:rsidR="00D922FF" w:rsidRPr="00CE73E3" w:rsidTr="009C5101">
        <w:trPr>
          <w:gridBefore w:val="1"/>
          <w:wBefore w:w="20" w:type="dxa"/>
          <w:cantSplit/>
          <w:trHeight w:val="336"/>
          <w:jc w:val="center"/>
        </w:trPr>
        <w:tc>
          <w:tcPr>
            <w:tcW w:w="973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EastAsia" w:hAnsi="Times New Roman" w:cs="Times New Roman"/>
                <w:b/>
                <w:color w:val="000000"/>
                <w:lang w:eastAsia="pt-PT"/>
              </w:rPr>
            </w:pPr>
          </w:p>
        </w:tc>
        <w:tc>
          <w:tcPr>
            <w:tcW w:w="1194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Theme="minorEastAsia" w:hAnsi="Times New Roman" w:cs="Times New Roman"/>
                <w:b/>
                <w:color w:val="000000"/>
                <w:lang w:eastAsia="pt-PT"/>
              </w:rPr>
            </w:pPr>
            <w:r w:rsidRPr="00CE73E3">
              <w:rPr>
                <w:rFonts w:ascii="Times New Roman" w:eastAsiaTheme="minorEastAsia" w:hAnsi="Times New Roman" w:cs="Times New Roman"/>
                <w:b/>
                <w:color w:val="000000"/>
                <w:lang w:eastAsia="pt-PT"/>
              </w:rPr>
              <w:t>Maligno</w:t>
            </w:r>
          </w:p>
        </w:tc>
        <w:tc>
          <w:tcPr>
            <w:tcW w:w="1195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</w:pPr>
            <w:r w:rsidRPr="00CE73E3"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  <w:t>69,01</w:t>
            </w:r>
          </w:p>
        </w:tc>
        <w:tc>
          <w:tcPr>
            <w:tcW w:w="1683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</w:pPr>
            <w:r w:rsidRPr="00CE73E3"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  <w:t>13,592</w:t>
            </w:r>
          </w:p>
        </w:tc>
        <w:tc>
          <w:tcPr>
            <w:tcW w:w="1683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</w:pPr>
            <w:r w:rsidRPr="00CE73E3"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  <w:t>28</w:t>
            </w:r>
          </w:p>
        </w:tc>
        <w:tc>
          <w:tcPr>
            <w:tcW w:w="1683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D922FF" w:rsidRPr="00CE73E3" w:rsidRDefault="00D922FF" w:rsidP="009C5101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</w:pPr>
            <w:r w:rsidRPr="00CE73E3">
              <w:rPr>
                <w:rFonts w:ascii="Times New Roman" w:eastAsiaTheme="minorEastAsia" w:hAnsi="Times New Roman" w:cs="Times New Roman"/>
                <w:color w:val="000000"/>
                <w:lang w:eastAsia="pt-PT"/>
              </w:rPr>
              <w:t>97</w:t>
            </w:r>
          </w:p>
        </w:tc>
      </w:tr>
    </w:tbl>
    <w:p w:rsidR="00D922FF" w:rsidRPr="00CC0213" w:rsidRDefault="00D922FF" w:rsidP="00D922FF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Diag</w:t>
      </w:r>
      <w:proofErr w:type="spellEnd"/>
      <w:r>
        <w:rPr>
          <w:rFonts w:ascii="Times New Roman" w:hAnsi="Times New Roman" w:cs="Times New Roman"/>
        </w:rPr>
        <w:t xml:space="preserve">. AP- diagnóstico </w:t>
      </w:r>
      <w:proofErr w:type="spellStart"/>
      <w:r>
        <w:rPr>
          <w:rFonts w:ascii="Times New Roman" w:hAnsi="Times New Roman" w:cs="Times New Roman"/>
        </w:rPr>
        <w:t>aná</w:t>
      </w:r>
      <w:r w:rsidRPr="00340964">
        <w:rPr>
          <w:rFonts w:ascii="Times New Roman" w:hAnsi="Times New Roman" w:cs="Times New Roman"/>
        </w:rPr>
        <w:t>tomo-patológico</w:t>
      </w:r>
      <w:proofErr w:type="spellEnd"/>
    </w:p>
    <w:p w:rsidR="007E5539" w:rsidRDefault="007E5539" w:rsidP="00941CFE">
      <w:pPr>
        <w:jc w:val="center"/>
      </w:pPr>
    </w:p>
    <w:p w:rsidR="00D922FF" w:rsidRDefault="00D922FF" w:rsidP="00941CFE">
      <w:pPr>
        <w:jc w:val="center"/>
      </w:pPr>
    </w:p>
    <w:p w:rsidR="00ED6D3E" w:rsidRDefault="00ED6D3E" w:rsidP="00E12027">
      <w:pPr>
        <w:tabs>
          <w:tab w:val="left" w:pos="7380"/>
        </w:tabs>
      </w:pPr>
    </w:p>
    <w:p w:rsidR="00ED6D3E" w:rsidRPr="00ED6D3E" w:rsidRDefault="00ED6D3E" w:rsidP="00ED6D3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E65FC">
        <w:rPr>
          <w:rFonts w:ascii="Times New Roman" w:hAnsi="Times New Roman" w:cs="Times New Roman"/>
        </w:rPr>
        <w:t>Quadro X. Comparaçã</w:t>
      </w:r>
      <w:r>
        <w:rPr>
          <w:rFonts w:ascii="Times New Roman" w:hAnsi="Times New Roman" w:cs="Times New Roman"/>
        </w:rPr>
        <w:t xml:space="preserve">o do diagnóstico clínico e o </w:t>
      </w:r>
      <w:proofErr w:type="spellStart"/>
      <w:r>
        <w:rPr>
          <w:rFonts w:ascii="Times New Roman" w:hAnsi="Times New Roman" w:cs="Times New Roman"/>
        </w:rPr>
        <w:t>aná</w:t>
      </w:r>
      <w:r w:rsidRPr="009E65FC">
        <w:rPr>
          <w:rFonts w:ascii="Times New Roman" w:hAnsi="Times New Roman" w:cs="Times New Roman"/>
        </w:rPr>
        <w:t>tomo</w:t>
      </w:r>
      <w:r>
        <w:rPr>
          <w:rFonts w:ascii="Times New Roman" w:hAnsi="Times New Roman" w:cs="Times New Roman"/>
        </w:rPr>
        <w:t>-patológico</w:t>
      </w:r>
      <w:proofErr w:type="spellEnd"/>
    </w:p>
    <w:tbl>
      <w:tblPr>
        <w:tblStyle w:val="Tabelacomgrelha"/>
        <w:tblW w:w="0" w:type="auto"/>
        <w:jc w:val="center"/>
        <w:tblInd w:w="1101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1285"/>
        <w:gridCol w:w="1930"/>
        <w:gridCol w:w="1780"/>
        <w:gridCol w:w="1308"/>
      </w:tblGrid>
      <w:tr w:rsidR="00ED6D3E" w:rsidTr="009C5101">
        <w:trPr>
          <w:jc w:val="center"/>
        </w:trPr>
        <w:tc>
          <w:tcPr>
            <w:tcW w:w="2624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6D3E" w:rsidRDefault="00ED6D3E" w:rsidP="009C51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6D3E" w:rsidRPr="00E65846" w:rsidRDefault="00ED6D3E" w:rsidP="009C51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Diagnóstico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anátomo-patológico</w:t>
            </w:r>
            <w:proofErr w:type="spellEnd"/>
          </w:p>
        </w:tc>
        <w:tc>
          <w:tcPr>
            <w:tcW w:w="136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ED6D3E" w:rsidRPr="007D581C" w:rsidRDefault="00ED6D3E" w:rsidP="009C510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81C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</w:tr>
      <w:tr w:rsidR="00ED6D3E" w:rsidTr="009C5101">
        <w:trPr>
          <w:jc w:val="center"/>
        </w:trPr>
        <w:tc>
          <w:tcPr>
            <w:tcW w:w="2624" w:type="dxa"/>
            <w:gridSpan w:val="2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D6D3E" w:rsidRDefault="00ED6D3E" w:rsidP="009C51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ED6D3E" w:rsidRPr="00E65846" w:rsidRDefault="00ED6D3E" w:rsidP="009C51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5846">
              <w:rPr>
                <w:rFonts w:ascii="Times New Roman" w:hAnsi="Times New Roman" w:cs="Times New Roman"/>
                <w:b/>
              </w:rPr>
              <w:t>Benigno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D6D3E" w:rsidRPr="00E65846" w:rsidRDefault="00ED6D3E" w:rsidP="009C51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5846">
              <w:rPr>
                <w:rFonts w:ascii="Times New Roman" w:hAnsi="Times New Roman" w:cs="Times New Roman"/>
                <w:b/>
              </w:rPr>
              <w:t>Maligno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ED6D3E" w:rsidRDefault="00ED6D3E" w:rsidP="009C51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D3E" w:rsidTr="009C5101">
        <w:trPr>
          <w:jc w:val="center"/>
        </w:trPr>
        <w:tc>
          <w:tcPr>
            <w:tcW w:w="1316" w:type="dxa"/>
            <w:vMerge w:val="restart"/>
            <w:tcBorders>
              <w:top w:val="single" w:sz="18" w:space="0" w:color="auto"/>
            </w:tcBorders>
            <w:vAlign w:val="center"/>
          </w:tcPr>
          <w:p w:rsidR="00ED6D3E" w:rsidRPr="00E65846" w:rsidRDefault="00ED6D3E" w:rsidP="009C51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5846">
              <w:rPr>
                <w:rFonts w:ascii="Times New Roman" w:hAnsi="Times New Roman" w:cs="Times New Roman"/>
                <w:b/>
              </w:rPr>
              <w:t>Diagnóstico</w:t>
            </w:r>
          </w:p>
          <w:p w:rsidR="00ED6D3E" w:rsidRPr="00E65846" w:rsidRDefault="00ED6D3E" w:rsidP="009C51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c</w:t>
            </w:r>
            <w:r w:rsidRPr="00E65846">
              <w:rPr>
                <w:rFonts w:ascii="Times New Roman" w:hAnsi="Times New Roman" w:cs="Times New Roman"/>
                <w:b/>
              </w:rPr>
              <w:t>línico</w:t>
            </w:r>
            <w:proofErr w:type="gramEnd"/>
          </w:p>
        </w:tc>
        <w:tc>
          <w:tcPr>
            <w:tcW w:w="13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D6D3E" w:rsidRPr="00E65846" w:rsidRDefault="00ED6D3E" w:rsidP="009C51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5846">
              <w:rPr>
                <w:rFonts w:ascii="Times New Roman" w:hAnsi="Times New Roman" w:cs="Times New Roman"/>
                <w:b/>
              </w:rPr>
              <w:t>Benigno</w:t>
            </w:r>
          </w:p>
        </w:tc>
        <w:tc>
          <w:tcPr>
            <w:tcW w:w="2005" w:type="dxa"/>
            <w:tcBorders>
              <w:top w:val="single" w:sz="18" w:space="0" w:color="auto"/>
              <w:left w:val="single" w:sz="18" w:space="0" w:color="auto"/>
            </w:tcBorders>
          </w:tcPr>
          <w:p w:rsidR="00ED6D3E" w:rsidRPr="004C26F1" w:rsidRDefault="00ED6D3E" w:rsidP="009C510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F1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:rsidR="00ED6D3E" w:rsidRPr="004C26F1" w:rsidRDefault="00ED6D3E" w:rsidP="009C510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F1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18" w:space="0" w:color="auto"/>
            </w:tcBorders>
          </w:tcPr>
          <w:p w:rsidR="00ED6D3E" w:rsidRPr="004C26F1" w:rsidRDefault="00ED6D3E" w:rsidP="009C510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F1">
              <w:rPr>
                <w:rFonts w:ascii="Times New Roman" w:hAnsi="Times New Roman" w:cs="Times New Roman"/>
                <w:sz w:val="18"/>
                <w:szCs w:val="18"/>
              </w:rPr>
              <w:t>1214</w:t>
            </w:r>
          </w:p>
        </w:tc>
      </w:tr>
      <w:tr w:rsidR="00ED6D3E" w:rsidTr="009C5101">
        <w:trPr>
          <w:jc w:val="center"/>
        </w:trPr>
        <w:tc>
          <w:tcPr>
            <w:tcW w:w="1316" w:type="dxa"/>
            <w:vMerge/>
          </w:tcPr>
          <w:p w:rsidR="00ED6D3E" w:rsidRPr="00E65846" w:rsidRDefault="00ED6D3E" w:rsidP="009C51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  <w:vAlign w:val="center"/>
          </w:tcPr>
          <w:p w:rsidR="00ED6D3E" w:rsidRPr="00E65846" w:rsidRDefault="00ED6D3E" w:rsidP="009C51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5846">
              <w:rPr>
                <w:rFonts w:ascii="Times New Roman" w:hAnsi="Times New Roman" w:cs="Times New Roman"/>
                <w:b/>
              </w:rPr>
              <w:t>Maligno</w:t>
            </w:r>
          </w:p>
        </w:tc>
        <w:tc>
          <w:tcPr>
            <w:tcW w:w="2005" w:type="dxa"/>
            <w:tcBorders>
              <w:left w:val="single" w:sz="18" w:space="0" w:color="auto"/>
            </w:tcBorders>
          </w:tcPr>
          <w:p w:rsidR="00ED6D3E" w:rsidRPr="004C26F1" w:rsidRDefault="00ED6D3E" w:rsidP="009C510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F1">
              <w:rPr>
                <w:rFonts w:ascii="Times New Roman" w:hAnsi="Times New Roman" w:cs="Times New Roman"/>
                <w:sz w:val="18"/>
                <w:szCs w:val="18"/>
              </w:rPr>
              <w:t xml:space="preserve">47 </w:t>
            </w: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ED6D3E" w:rsidRPr="004C26F1" w:rsidRDefault="00ED6D3E" w:rsidP="009C510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F1">
              <w:rPr>
                <w:rFonts w:ascii="Times New Roman" w:hAnsi="Times New Roman" w:cs="Times New Roman"/>
                <w:sz w:val="18"/>
                <w:szCs w:val="18"/>
              </w:rPr>
              <w:t xml:space="preserve">327 </w:t>
            </w:r>
          </w:p>
        </w:tc>
        <w:tc>
          <w:tcPr>
            <w:tcW w:w="1365" w:type="dxa"/>
            <w:tcBorders>
              <w:left w:val="single" w:sz="18" w:space="0" w:color="auto"/>
            </w:tcBorders>
          </w:tcPr>
          <w:p w:rsidR="00ED6D3E" w:rsidRPr="004C26F1" w:rsidRDefault="00ED6D3E" w:rsidP="009C510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F1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</w:tr>
      <w:tr w:rsidR="00ED6D3E" w:rsidTr="009C5101">
        <w:trPr>
          <w:jc w:val="center"/>
        </w:trPr>
        <w:tc>
          <w:tcPr>
            <w:tcW w:w="262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ED6D3E" w:rsidRPr="00BF2F4B" w:rsidRDefault="00ED6D3E" w:rsidP="009C510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F4B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005" w:type="dxa"/>
            <w:tcBorders>
              <w:left w:val="single" w:sz="18" w:space="0" w:color="auto"/>
              <w:bottom w:val="single" w:sz="18" w:space="0" w:color="auto"/>
            </w:tcBorders>
          </w:tcPr>
          <w:p w:rsidR="00ED6D3E" w:rsidRPr="004C26F1" w:rsidRDefault="00ED6D3E" w:rsidP="009C510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F1">
              <w:rPr>
                <w:rFonts w:ascii="Times New Roman" w:hAnsi="Times New Roman" w:cs="Times New Roman"/>
                <w:sz w:val="18"/>
                <w:szCs w:val="18"/>
              </w:rPr>
              <w:t>1239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</w:tcPr>
          <w:p w:rsidR="00ED6D3E" w:rsidRPr="004C26F1" w:rsidRDefault="00ED6D3E" w:rsidP="009C510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F1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1365" w:type="dxa"/>
            <w:tcBorders>
              <w:left w:val="single" w:sz="18" w:space="0" w:color="auto"/>
              <w:bottom w:val="single" w:sz="18" w:space="0" w:color="auto"/>
            </w:tcBorders>
          </w:tcPr>
          <w:p w:rsidR="00ED6D3E" w:rsidRPr="004C26F1" w:rsidRDefault="00ED6D3E" w:rsidP="009C510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F1">
              <w:rPr>
                <w:rFonts w:ascii="Times New Roman" w:hAnsi="Times New Roman" w:cs="Times New Roman"/>
                <w:sz w:val="18"/>
                <w:szCs w:val="18"/>
              </w:rPr>
              <w:t>1588</w:t>
            </w:r>
          </w:p>
        </w:tc>
      </w:tr>
      <w:tr w:rsidR="00ED6D3E" w:rsidTr="009C5101">
        <w:trPr>
          <w:jc w:val="center"/>
        </w:trPr>
        <w:tc>
          <w:tcPr>
            <w:tcW w:w="7837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:rsidR="00ED6D3E" w:rsidRDefault="00ED6D3E" w:rsidP="009C5101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81C">
              <w:rPr>
                <w:rFonts w:ascii="Times New Roman" w:hAnsi="Times New Roman" w:cs="Times New Roman"/>
                <w:sz w:val="18"/>
                <w:szCs w:val="18"/>
              </w:rPr>
              <w:t>Sensibilidade do diagnóstico clínico = 327/349x100 = 93,7%</w:t>
            </w:r>
          </w:p>
          <w:p w:rsidR="00ED6D3E" w:rsidRPr="00C500D5" w:rsidRDefault="00ED6D3E" w:rsidP="009C5101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581C">
              <w:rPr>
                <w:rFonts w:ascii="Times New Roman" w:hAnsi="Times New Roman" w:cs="Times New Roman"/>
                <w:sz w:val="18"/>
                <w:szCs w:val="18"/>
              </w:rPr>
              <w:t>Especificidade do diagnóstico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clí</w:t>
            </w:r>
            <w:r w:rsidRPr="007D581C">
              <w:rPr>
                <w:rFonts w:ascii="Times New Roman" w:hAnsi="Times New Roman" w:cs="Times New Roman"/>
                <w:sz w:val="18"/>
                <w:szCs w:val="18"/>
              </w:rPr>
              <w:t>nico = 1192/1239x100 = 96,2%</w:t>
            </w:r>
          </w:p>
        </w:tc>
      </w:tr>
    </w:tbl>
    <w:p w:rsidR="00ED6D3E" w:rsidRDefault="00ED6D3E" w:rsidP="002863E9">
      <w:pPr>
        <w:tabs>
          <w:tab w:val="left" w:pos="7380"/>
        </w:tabs>
        <w:jc w:val="center"/>
      </w:pPr>
    </w:p>
    <w:p w:rsidR="00ED6D3E" w:rsidRDefault="00ED6D3E" w:rsidP="002863E9">
      <w:pPr>
        <w:tabs>
          <w:tab w:val="left" w:pos="7380"/>
        </w:tabs>
        <w:jc w:val="center"/>
      </w:pPr>
    </w:p>
    <w:p w:rsidR="00672B87" w:rsidRDefault="00672B87" w:rsidP="00672B87">
      <w:pPr>
        <w:rPr>
          <w:b/>
        </w:rPr>
      </w:pPr>
    </w:p>
    <w:p w:rsidR="00672B87" w:rsidRDefault="00672B87" w:rsidP="00672B87">
      <w:pPr>
        <w:rPr>
          <w:b/>
        </w:rPr>
      </w:pPr>
    </w:p>
    <w:p w:rsidR="00672B87" w:rsidRDefault="00672B87" w:rsidP="00672B87">
      <w:pPr>
        <w:rPr>
          <w:b/>
        </w:rPr>
      </w:pPr>
    </w:p>
    <w:p w:rsidR="00672B87" w:rsidRDefault="00672B87" w:rsidP="00672B87">
      <w:pPr>
        <w:rPr>
          <w:b/>
        </w:rPr>
      </w:pPr>
    </w:p>
    <w:p w:rsidR="00672B87" w:rsidRDefault="00672B87" w:rsidP="00672B87">
      <w:pPr>
        <w:rPr>
          <w:b/>
        </w:rPr>
      </w:pPr>
    </w:p>
    <w:p w:rsidR="00672B87" w:rsidRDefault="00672B87" w:rsidP="00672B87">
      <w:pPr>
        <w:rPr>
          <w:b/>
        </w:rPr>
      </w:pPr>
    </w:p>
    <w:p w:rsidR="00672B87" w:rsidRDefault="00672B87" w:rsidP="00672B87">
      <w:pPr>
        <w:rPr>
          <w:b/>
        </w:rPr>
      </w:pPr>
    </w:p>
    <w:p w:rsidR="00672B87" w:rsidRPr="00672B87" w:rsidRDefault="00672B87" w:rsidP="00672B87">
      <w:pPr>
        <w:rPr>
          <w:b/>
        </w:rPr>
      </w:pPr>
      <w:r w:rsidRPr="00672B87">
        <w:rPr>
          <w:b/>
        </w:rPr>
        <w:lastRenderedPageBreak/>
        <w:t>Gráficos</w:t>
      </w:r>
    </w:p>
    <w:p w:rsidR="00672B87" w:rsidRDefault="00672B87" w:rsidP="00672B87">
      <w:r>
        <w:rPr>
          <w:noProof/>
          <w:lang w:eastAsia="pt-PT"/>
        </w:rPr>
        <w:drawing>
          <wp:inline distT="0" distB="0" distL="0" distR="0" wp14:anchorId="4C99B109" wp14:editId="3F297FE2">
            <wp:extent cx="2438400" cy="192405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72B87" w:rsidRDefault="00672B87" w:rsidP="00672B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07C2">
        <w:rPr>
          <w:rFonts w:ascii="Arial" w:hAnsi="Arial" w:cs="Arial"/>
          <w:b/>
          <w:color w:val="00B0F0"/>
          <w:sz w:val="20"/>
          <w:szCs w:val="20"/>
        </w:rPr>
        <w:t xml:space="preserve"> </w:t>
      </w:r>
      <w:proofErr w:type="spellStart"/>
      <w:r w:rsidRPr="004B102B">
        <w:rPr>
          <w:rFonts w:ascii="Arial" w:hAnsi="Arial" w:cs="Arial"/>
          <w:b/>
          <w:color w:val="00B0F0"/>
          <w:sz w:val="20"/>
          <w:szCs w:val="20"/>
        </w:rPr>
        <w:t>Gráf</w:t>
      </w:r>
      <w:proofErr w:type="spellEnd"/>
      <w:r w:rsidRPr="004B102B">
        <w:rPr>
          <w:rFonts w:ascii="Arial" w:hAnsi="Arial" w:cs="Arial"/>
          <w:b/>
          <w:color w:val="00B0F0"/>
          <w:sz w:val="20"/>
          <w:szCs w:val="20"/>
        </w:rPr>
        <w:t xml:space="preserve"> 1</w:t>
      </w:r>
      <w:r w:rsidRPr="00BB10F7">
        <w:rPr>
          <w:rFonts w:ascii="Arial" w:hAnsi="Arial" w:cs="Arial"/>
          <w:b/>
          <w:color w:val="00B0F0"/>
          <w:sz w:val="20"/>
          <w:szCs w:val="20"/>
        </w:rPr>
        <w:t>.</w:t>
      </w:r>
      <w:r w:rsidRPr="000D0E95">
        <w:rPr>
          <w:rFonts w:ascii="Arial" w:hAnsi="Arial" w:cs="Arial"/>
          <w:sz w:val="20"/>
          <w:szCs w:val="20"/>
        </w:rPr>
        <w:t xml:space="preserve"> Análise do género entre tumores benignos e malignos</w:t>
      </w:r>
    </w:p>
    <w:p w:rsidR="00672B87" w:rsidRDefault="00672B87" w:rsidP="00672B87"/>
    <w:p w:rsidR="00672B87" w:rsidRDefault="00672B87" w:rsidP="00672B87"/>
    <w:p w:rsidR="00672B87" w:rsidRDefault="00672B87" w:rsidP="00672B87">
      <w:r>
        <w:rPr>
          <w:noProof/>
          <w:lang w:eastAsia="pt-PT"/>
        </w:rPr>
        <w:drawing>
          <wp:inline distT="0" distB="0" distL="0" distR="0" wp14:anchorId="361BE43C" wp14:editId="670F912F">
            <wp:extent cx="2362200" cy="1952625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72B87" w:rsidRPr="009666F7" w:rsidRDefault="00672B87" w:rsidP="00672B87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D27354">
        <w:rPr>
          <w:rFonts w:ascii="Arial" w:hAnsi="Arial" w:cs="Arial"/>
          <w:b/>
          <w:color w:val="00B0F0"/>
          <w:sz w:val="20"/>
          <w:szCs w:val="20"/>
        </w:rPr>
        <w:t>Gráf</w:t>
      </w:r>
      <w:proofErr w:type="spellEnd"/>
      <w:r w:rsidRPr="00D27354">
        <w:rPr>
          <w:rFonts w:ascii="Arial" w:hAnsi="Arial" w:cs="Arial"/>
          <w:b/>
          <w:color w:val="00B0F0"/>
          <w:sz w:val="20"/>
          <w:szCs w:val="20"/>
        </w:rPr>
        <w:t xml:space="preserve"> 2</w:t>
      </w:r>
      <w:r w:rsidRPr="009666F7">
        <w:rPr>
          <w:rFonts w:ascii="Arial" w:hAnsi="Arial" w:cs="Arial"/>
          <w:sz w:val="20"/>
          <w:szCs w:val="20"/>
        </w:rPr>
        <w:t>. Frequência de tumores palpebrais segundo a faixa etária</w:t>
      </w:r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Inf</w:t>
      </w:r>
      <w:proofErr w:type="spellEnd"/>
      <w:r>
        <w:rPr>
          <w:rFonts w:ascii="Arial" w:hAnsi="Arial" w:cs="Arial"/>
          <w:sz w:val="20"/>
          <w:szCs w:val="20"/>
        </w:rPr>
        <w:t xml:space="preserve">, Infantil; AJ, Adultos Jovens; IM, Idade Média; </w:t>
      </w:r>
      <w:proofErr w:type="spellStart"/>
      <w:r>
        <w:rPr>
          <w:rFonts w:ascii="Arial" w:hAnsi="Arial" w:cs="Arial"/>
          <w:sz w:val="20"/>
          <w:szCs w:val="20"/>
        </w:rPr>
        <w:t>Id</w:t>
      </w:r>
      <w:proofErr w:type="spellEnd"/>
      <w:r>
        <w:rPr>
          <w:rFonts w:ascii="Arial" w:hAnsi="Arial" w:cs="Arial"/>
          <w:sz w:val="20"/>
          <w:szCs w:val="20"/>
        </w:rPr>
        <w:t>, Idosos</w:t>
      </w:r>
    </w:p>
    <w:p w:rsidR="00672B87" w:rsidRDefault="00672B87" w:rsidP="00672B87"/>
    <w:p w:rsidR="00672B87" w:rsidRDefault="00672B87" w:rsidP="00672B87">
      <w:r>
        <w:rPr>
          <w:noProof/>
          <w:lang w:eastAsia="pt-PT"/>
        </w:rPr>
        <w:drawing>
          <wp:inline distT="0" distB="0" distL="0" distR="0" wp14:anchorId="5B41AB8A" wp14:editId="015EA374">
            <wp:extent cx="2809875" cy="2019299"/>
            <wp:effectExtent l="0" t="0" r="0" b="63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72B87" w:rsidRPr="00BD6670" w:rsidRDefault="00672B87" w:rsidP="00672B87">
      <w:pPr>
        <w:pStyle w:val="PargrafodaLista"/>
        <w:spacing w:after="0" w:line="360" w:lineRule="auto"/>
        <w:ind w:left="0"/>
        <w:rPr>
          <w:rFonts w:ascii="Arial" w:hAnsi="Arial" w:cs="Arial"/>
          <w:sz w:val="20"/>
          <w:szCs w:val="20"/>
        </w:rPr>
      </w:pPr>
      <w:proofErr w:type="spellStart"/>
      <w:r w:rsidRPr="00D27354">
        <w:rPr>
          <w:rFonts w:ascii="Arial" w:hAnsi="Arial" w:cs="Arial"/>
          <w:b/>
          <w:color w:val="00B0F0"/>
          <w:sz w:val="20"/>
          <w:szCs w:val="20"/>
        </w:rPr>
        <w:t>Gráf</w:t>
      </w:r>
      <w:proofErr w:type="spellEnd"/>
      <w:r w:rsidRPr="00D27354">
        <w:rPr>
          <w:rFonts w:ascii="Arial" w:hAnsi="Arial" w:cs="Arial"/>
          <w:b/>
          <w:color w:val="00B0F0"/>
          <w:sz w:val="20"/>
          <w:szCs w:val="20"/>
        </w:rPr>
        <w:t xml:space="preserve"> 3.</w:t>
      </w:r>
      <w:r w:rsidRPr="00D27354">
        <w:rPr>
          <w:rFonts w:ascii="Arial" w:hAnsi="Arial" w:cs="Arial"/>
          <w:color w:val="00B0F0"/>
          <w:sz w:val="20"/>
          <w:szCs w:val="20"/>
        </w:rPr>
        <w:t xml:space="preserve"> </w:t>
      </w:r>
      <w:r w:rsidRPr="00BD6670">
        <w:rPr>
          <w:rFonts w:ascii="Arial" w:hAnsi="Arial" w:cs="Arial"/>
          <w:sz w:val="20"/>
          <w:szCs w:val="20"/>
        </w:rPr>
        <w:t>Análise da faixa etária entre tumores benignos e malignos</w:t>
      </w:r>
    </w:p>
    <w:p w:rsidR="00672B87" w:rsidRDefault="00672B87" w:rsidP="00672B87"/>
    <w:p w:rsidR="00672B87" w:rsidRDefault="00672B87" w:rsidP="00672B87"/>
    <w:p w:rsidR="00672B87" w:rsidRDefault="00672B87" w:rsidP="00672B87">
      <w:r>
        <w:rPr>
          <w:noProof/>
          <w:lang w:eastAsia="pt-PT"/>
        </w:rPr>
        <w:drawing>
          <wp:inline distT="0" distB="0" distL="0" distR="0" wp14:anchorId="26B15636" wp14:editId="7C450A84">
            <wp:extent cx="2800350" cy="20193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2B87" w:rsidRPr="006F75D1" w:rsidRDefault="00672B87" w:rsidP="00672B87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D27354">
        <w:rPr>
          <w:rFonts w:ascii="Arial" w:hAnsi="Arial" w:cs="Arial"/>
          <w:b/>
          <w:color w:val="00B0F0"/>
          <w:sz w:val="20"/>
          <w:szCs w:val="20"/>
        </w:rPr>
        <w:t>Gráf</w:t>
      </w:r>
      <w:proofErr w:type="spellEnd"/>
      <w:r w:rsidRPr="00D27354">
        <w:rPr>
          <w:rFonts w:ascii="Arial" w:hAnsi="Arial" w:cs="Arial"/>
          <w:b/>
          <w:color w:val="00B0F0"/>
          <w:sz w:val="20"/>
          <w:szCs w:val="20"/>
        </w:rPr>
        <w:t xml:space="preserve"> 4</w:t>
      </w:r>
      <w:r w:rsidRPr="006F75D1">
        <w:rPr>
          <w:rFonts w:ascii="Arial" w:hAnsi="Arial" w:cs="Arial"/>
          <w:sz w:val="20"/>
          <w:szCs w:val="20"/>
        </w:rPr>
        <w:t>. Frequência de tumores benignos e malignos segundo a faixa etária</w:t>
      </w:r>
    </w:p>
    <w:p w:rsidR="00672B87" w:rsidRDefault="00672B87" w:rsidP="00672B87"/>
    <w:p w:rsidR="00672B87" w:rsidRDefault="00672B87" w:rsidP="00672B87"/>
    <w:p w:rsidR="00672B87" w:rsidRDefault="00672B87" w:rsidP="00672B87">
      <w:r>
        <w:rPr>
          <w:noProof/>
          <w:lang w:eastAsia="pt-PT"/>
        </w:rPr>
        <w:drawing>
          <wp:inline distT="0" distB="0" distL="0" distR="0" wp14:anchorId="7FB1586E" wp14:editId="519A80C0">
            <wp:extent cx="2666998" cy="2286000"/>
            <wp:effectExtent l="0" t="0" r="635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2B87" w:rsidRDefault="00672B87" w:rsidP="00672B87">
      <w:pPr>
        <w:pStyle w:val="PargrafodaLista"/>
        <w:spacing w:after="0" w:line="360" w:lineRule="auto"/>
        <w:ind w:left="0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color w:val="00B0F0"/>
          <w:sz w:val="20"/>
          <w:szCs w:val="20"/>
        </w:rPr>
        <w:t>Gráf</w:t>
      </w:r>
      <w:proofErr w:type="spellEnd"/>
      <w:r>
        <w:rPr>
          <w:rFonts w:ascii="Arial" w:hAnsi="Arial" w:cs="Arial"/>
          <w:b/>
          <w:color w:val="00B0F0"/>
          <w:sz w:val="20"/>
          <w:szCs w:val="20"/>
        </w:rPr>
        <w:t xml:space="preserve">  5</w:t>
      </w:r>
      <w:r w:rsidRPr="008E365E">
        <w:rPr>
          <w:rFonts w:ascii="Arial" w:hAnsi="Arial" w:cs="Arial"/>
          <w:b/>
          <w:color w:val="00B0F0"/>
          <w:sz w:val="20"/>
          <w:szCs w:val="20"/>
        </w:rPr>
        <w:t>.</w:t>
      </w:r>
      <w:proofErr w:type="gramEnd"/>
      <w:r w:rsidRPr="008E365E">
        <w:rPr>
          <w:rFonts w:ascii="Arial" w:hAnsi="Arial" w:cs="Arial"/>
          <w:color w:val="00B0F0"/>
          <w:sz w:val="20"/>
          <w:szCs w:val="20"/>
        </w:rPr>
        <w:t xml:space="preserve"> </w:t>
      </w:r>
      <w:r w:rsidRPr="00594603">
        <w:rPr>
          <w:rFonts w:ascii="Arial" w:hAnsi="Arial" w:cs="Arial"/>
          <w:sz w:val="20"/>
          <w:szCs w:val="20"/>
        </w:rPr>
        <w:t>Análise da localização anatómica entre tumores benignos e malignos</w:t>
      </w:r>
    </w:p>
    <w:p w:rsidR="00672B87" w:rsidRDefault="00672B87" w:rsidP="00672B87">
      <w:pPr>
        <w:pStyle w:val="PargrafodaLista"/>
        <w:spacing w:after="0" w:line="360" w:lineRule="auto"/>
        <w:ind w:left="0"/>
        <w:rPr>
          <w:rFonts w:ascii="Arial" w:hAnsi="Arial" w:cs="Arial"/>
          <w:sz w:val="20"/>
          <w:szCs w:val="20"/>
        </w:rPr>
      </w:pPr>
    </w:p>
    <w:p w:rsidR="00672B87" w:rsidRDefault="00672B87" w:rsidP="00672B87">
      <w:pPr>
        <w:pStyle w:val="PargrafodaLista"/>
        <w:spacing w:after="0" w:line="360" w:lineRule="auto"/>
        <w:ind w:left="0"/>
        <w:rPr>
          <w:rFonts w:ascii="Arial" w:hAnsi="Arial" w:cs="Arial"/>
          <w:sz w:val="20"/>
          <w:szCs w:val="20"/>
        </w:rPr>
      </w:pPr>
      <w:r>
        <w:rPr>
          <w:noProof/>
          <w:lang w:eastAsia="pt-PT"/>
        </w:rPr>
        <w:drawing>
          <wp:inline distT="0" distB="0" distL="0" distR="0" wp14:anchorId="2F4A2B47" wp14:editId="4B6B215A">
            <wp:extent cx="2781300" cy="1847848"/>
            <wp:effectExtent l="0" t="0" r="0" b="63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72B87" w:rsidRDefault="00672B87" w:rsidP="00672B87">
      <w:proofErr w:type="spellStart"/>
      <w:r>
        <w:rPr>
          <w:rFonts w:ascii="Arial" w:hAnsi="Arial" w:cs="Arial"/>
          <w:b/>
          <w:color w:val="00B0F0"/>
          <w:sz w:val="20"/>
          <w:szCs w:val="20"/>
        </w:rPr>
        <w:t>Gráf</w:t>
      </w:r>
      <w:proofErr w:type="spellEnd"/>
      <w:r>
        <w:rPr>
          <w:rFonts w:ascii="Arial" w:hAnsi="Arial" w:cs="Arial"/>
          <w:b/>
          <w:color w:val="00B0F0"/>
          <w:sz w:val="20"/>
          <w:szCs w:val="20"/>
        </w:rPr>
        <w:t xml:space="preserve"> 6</w:t>
      </w:r>
      <w:r w:rsidRPr="001F0859">
        <w:rPr>
          <w:rFonts w:ascii="Arial" w:hAnsi="Arial" w:cs="Arial"/>
          <w:b/>
          <w:color w:val="00B0F0"/>
          <w:sz w:val="20"/>
          <w:szCs w:val="20"/>
        </w:rPr>
        <w:t>.</w:t>
      </w:r>
      <w:r w:rsidRPr="001F0859">
        <w:rPr>
          <w:rFonts w:ascii="Arial" w:hAnsi="Arial" w:cs="Arial"/>
          <w:color w:val="00B0F0"/>
          <w:sz w:val="20"/>
          <w:szCs w:val="20"/>
        </w:rPr>
        <w:t xml:space="preserve"> </w:t>
      </w:r>
      <w:r w:rsidRPr="006921E4">
        <w:rPr>
          <w:rFonts w:ascii="Arial" w:hAnsi="Arial" w:cs="Arial"/>
          <w:sz w:val="20"/>
          <w:szCs w:val="20"/>
        </w:rPr>
        <w:t>Frequência de tumores palpebrais segundo a localização na área palpebral</w:t>
      </w:r>
    </w:p>
    <w:p w:rsidR="00672B87" w:rsidRDefault="00672B87" w:rsidP="00672B87">
      <w:r>
        <w:rPr>
          <w:noProof/>
          <w:lang w:eastAsia="pt-PT"/>
        </w:rPr>
        <w:lastRenderedPageBreak/>
        <w:drawing>
          <wp:inline distT="0" distB="0" distL="0" distR="0" wp14:anchorId="67EB5C60" wp14:editId="4B43B12E">
            <wp:extent cx="2676525" cy="2667001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72B87" w:rsidRDefault="00672B87" w:rsidP="00672B87">
      <w:pPr>
        <w:pStyle w:val="PargrafodaLista"/>
        <w:spacing w:after="0" w:line="360" w:lineRule="auto"/>
        <w:ind w:left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color w:val="00B0F0"/>
          <w:sz w:val="20"/>
          <w:szCs w:val="20"/>
        </w:rPr>
        <w:t>Gráf</w:t>
      </w:r>
      <w:proofErr w:type="spellEnd"/>
      <w:r>
        <w:rPr>
          <w:rFonts w:ascii="Arial" w:hAnsi="Arial" w:cs="Arial"/>
          <w:b/>
          <w:color w:val="00B0F0"/>
          <w:sz w:val="20"/>
          <w:szCs w:val="20"/>
        </w:rPr>
        <w:t xml:space="preserve"> 7</w:t>
      </w:r>
      <w:r w:rsidRPr="00167AE4">
        <w:rPr>
          <w:rFonts w:ascii="Arial" w:hAnsi="Arial" w:cs="Arial"/>
          <w:b/>
          <w:color w:val="00B0F0"/>
          <w:sz w:val="20"/>
          <w:szCs w:val="20"/>
        </w:rPr>
        <w:t>.</w:t>
      </w:r>
      <w:r w:rsidRPr="00167AE4">
        <w:rPr>
          <w:rFonts w:ascii="Arial" w:hAnsi="Arial" w:cs="Arial"/>
          <w:color w:val="00B0F0"/>
          <w:sz w:val="20"/>
          <w:szCs w:val="20"/>
        </w:rPr>
        <w:t xml:space="preserve"> </w:t>
      </w:r>
      <w:r w:rsidRPr="006921E4">
        <w:rPr>
          <w:rFonts w:ascii="Arial" w:hAnsi="Arial" w:cs="Arial"/>
          <w:sz w:val="20"/>
          <w:szCs w:val="20"/>
        </w:rPr>
        <w:t>Análise da localização na área palpebral entre tumores benignos e malignos</w:t>
      </w:r>
      <w:r>
        <w:rPr>
          <w:rFonts w:ascii="Arial" w:hAnsi="Arial" w:cs="Arial"/>
          <w:sz w:val="20"/>
          <w:szCs w:val="20"/>
        </w:rPr>
        <w:t>. PS, Pálpebra Superior; PI, Pálpebra Inferior; CE, Canto Externo; CI, Canto Interno; TA, Todas as áreas.</w:t>
      </w:r>
    </w:p>
    <w:p w:rsidR="00672B87" w:rsidRDefault="00672B87" w:rsidP="00672B87"/>
    <w:p w:rsidR="00672B87" w:rsidRDefault="00672B87" w:rsidP="00672B87">
      <w:r>
        <w:rPr>
          <w:noProof/>
          <w:lang w:eastAsia="pt-PT"/>
        </w:rPr>
        <w:drawing>
          <wp:inline distT="0" distB="0" distL="0" distR="0" wp14:anchorId="7EF11789" wp14:editId="0220DD35">
            <wp:extent cx="2762250" cy="2009775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72B87" w:rsidRDefault="00672B87" w:rsidP="00672B87">
      <w:proofErr w:type="spellStart"/>
      <w:r>
        <w:rPr>
          <w:rFonts w:ascii="Arial" w:hAnsi="Arial" w:cs="Arial"/>
          <w:b/>
          <w:color w:val="00B0F0"/>
          <w:sz w:val="20"/>
          <w:szCs w:val="20"/>
        </w:rPr>
        <w:t>Gráf</w:t>
      </w:r>
      <w:proofErr w:type="spellEnd"/>
      <w:r>
        <w:rPr>
          <w:rFonts w:ascii="Arial" w:hAnsi="Arial" w:cs="Arial"/>
          <w:b/>
          <w:color w:val="00B0F0"/>
          <w:sz w:val="20"/>
          <w:szCs w:val="20"/>
        </w:rPr>
        <w:t xml:space="preserve"> 8</w:t>
      </w:r>
      <w:r w:rsidRPr="00F45895">
        <w:rPr>
          <w:rFonts w:ascii="Arial" w:hAnsi="Arial" w:cs="Arial"/>
          <w:b/>
          <w:color w:val="00B0F0"/>
          <w:sz w:val="20"/>
          <w:szCs w:val="20"/>
        </w:rPr>
        <w:t>.</w:t>
      </w:r>
      <w:r w:rsidRPr="00F45895">
        <w:rPr>
          <w:rFonts w:ascii="Arial" w:hAnsi="Arial" w:cs="Arial"/>
          <w:color w:val="00B0F0"/>
          <w:sz w:val="20"/>
          <w:szCs w:val="20"/>
        </w:rPr>
        <w:t xml:space="preserve"> </w:t>
      </w:r>
      <w:r w:rsidRPr="00AA7627">
        <w:rPr>
          <w:rFonts w:ascii="Arial" w:hAnsi="Arial" w:cs="Arial"/>
          <w:sz w:val="20"/>
          <w:szCs w:val="20"/>
        </w:rPr>
        <w:t>Análise da bilateralidade entre tumores benignos e malignos</w:t>
      </w:r>
    </w:p>
    <w:p w:rsidR="00672B87" w:rsidRDefault="00672B87" w:rsidP="00672B87"/>
    <w:p w:rsidR="00672B87" w:rsidRDefault="00672B87" w:rsidP="00672B87">
      <w:r>
        <w:rPr>
          <w:noProof/>
          <w:lang w:eastAsia="pt-PT"/>
        </w:rPr>
        <w:drawing>
          <wp:inline distT="0" distB="0" distL="0" distR="0" wp14:anchorId="41D2E616" wp14:editId="52D1BDCC">
            <wp:extent cx="2667000" cy="215265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72B87" w:rsidRPr="006161BF" w:rsidRDefault="00672B87" w:rsidP="00672B87">
      <w:proofErr w:type="spellStart"/>
      <w:r>
        <w:rPr>
          <w:rFonts w:ascii="Arial" w:hAnsi="Arial" w:cs="Arial"/>
          <w:b/>
          <w:color w:val="00B0F0"/>
          <w:sz w:val="20"/>
          <w:szCs w:val="20"/>
        </w:rPr>
        <w:lastRenderedPageBreak/>
        <w:t>Gráf</w:t>
      </w:r>
      <w:proofErr w:type="spellEnd"/>
      <w:r>
        <w:rPr>
          <w:rFonts w:ascii="Arial" w:hAnsi="Arial" w:cs="Arial"/>
          <w:b/>
          <w:color w:val="00B0F0"/>
          <w:sz w:val="20"/>
          <w:szCs w:val="20"/>
        </w:rPr>
        <w:t xml:space="preserve"> 9</w:t>
      </w:r>
      <w:r w:rsidRPr="00241EBB">
        <w:rPr>
          <w:rFonts w:ascii="Arial" w:hAnsi="Arial" w:cs="Arial"/>
          <w:b/>
          <w:color w:val="00B0F0"/>
          <w:sz w:val="20"/>
          <w:szCs w:val="20"/>
        </w:rPr>
        <w:t>.</w:t>
      </w:r>
      <w:r w:rsidRPr="00241EBB">
        <w:rPr>
          <w:rFonts w:ascii="Arial" w:hAnsi="Arial" w:cs="Arial"/>
          <w:color w:val="00B0F0"/>
          <w:sz w:val="20"/>
          <w:szCs w:val="20"/>
        </w:rPr>
        <w:t xml:space="preserve"> </w:t>
      </w:r>
      <w:r w:rsidRPr="006F388D">
        <w:rPr>
          <w:rFonts w:ascii="Arial" w:hAnsi="Arial" w:cs="Arial"/>
          <w:sz w:val="20"/>
          <w:szCs w:val="20"/>
        </w:rPr>
        <w:t>Análise da multifocalidade entre tumores benignos e malignos</w:t>
      </w:r>
    </w:p>
    <w:p w:rsidR="00672B87" w:rsidRDefault="00672B87" w:rsidP="00672B87"/>
    <w:p w:rsidR="004E1EA4" w:rsidRPr="002863E9" w:rsidRDefault="004E1EA4" w:rsidP="002863E9">
      <w:pPr>
        <w:tabs>
          <w:tab w:val="left" w:pos="7380"/>
        </w:tabs>
        <w:jc w:val="center"/>
      </w:pPr>
    </w:p>
    <w:sectPr w:rsidR="004E1EA4" w:rsidRPr="002863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F8"/>
    <w:rsid w:val="000B2FFA"/>
    <w:rsid w:val="00133EC8"/>
    <w:rsid w:val="00210013"/>
    <w:rsid w:val="002863E9"/>
    <w:rsid w:val="003619F1"/>
    <w:rsid w:val="004407AB"/>
    <w:rsid w:val="004E1EA4"/>
    <w:rsid w:val="00672B87"/>
    <w:rsid w:val="00686016"/>
    <w:rsid w:val="00690B5C"/>
    <w:rsid w:val="007B6CAA"/>
    <w:rsid w:val="007E5539"/>
    <w:rsid w:val="00941CFE"/>
    <w:rsid w:val="009C5101"/>
    <w:rsid w:val="00A15420"/>
    <w:rsid w:val="00D174FF"/>
    <w:rsid w:val="00D44A05"/>
    <w:rsid w:val="00D922FF"/>
    <w:rsid w:val="00DB367F"/>
    <w:rsid w:val="00DD6950"/>
    <w:rsid w:val="00E12027"/>
    <w:rsid w:val="00E63F53"/>
    <w:rsid w:val="00EA26F8"/>
    <w:rsid w:val="00ED5314"/>
    <w:rsid w:val="00ED6D3E"/>
    <w:rsid w:val="00FB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6F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A2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4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41C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1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6F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A2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4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41C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1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Marisa\Desktop\Gr&#225;ficos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7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lha_de_C_lculo_do_Microsoft_Excel8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297566617732105"/>
          <c:y val="0.13113328655700215"/>
          <c:w val="0.62219891697309881"/>
          <c:h val="0.507714976222031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'Fig1, Fig3 Fig4 Fig8 Fig9 Fig10'!$D$9</c:f>
              <c:strCache>
                <c:ptCount val="1"/>
                <c:pt idx="0">
                  <c:v>Feminino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('Fig1, Fig3 Fig4 Fig8 Fig9 Fig10'!$B$10;'Fig1, Fig3 Fig4 Fig8 Fig9 Fig10'!$B$13)</c:f>
              <c:strCache>
                <c:ptCount val="2"/>
                <c:pt idx="0">
                  <c:v>Benigno</c:v>
                </c:pt>
                <c:pt idx="1">
                  <c:v>Maligno</c:v>
                </c:pt>
              </c:strCache>
            </c:strRef>
          </c:cat>
          <c:val>
            <c:numRef>
              <c:f>('Fig1, Fig3 Fig4 Fig8 Fig9 Fig10'!$D$11;'Fig1, Fig3 Fig4 Fig8 Fig9 Fig10'!$D$14)</c:f>
              <c:numCache>
                <c:formatCode>General</c:formatCode>
                <c:ptCount val="2"/>
                <c:pt idx="0">
                  <c:v>60</c:v>
                </c:pt>
                <c:pt idx="1">
                  <c:v>58</c:v>
                </c:pt>
              </c:numCache>
            </c:numRef>
          </c:val>
        </c:ser>
        <c:ser>
          <c:idx val="1"/>
          <c:order val="1"/>
          <c:tx>
            <c:strRef>
              <c:f>'Fig1, Fig3 Fig4 Fig8 Fig9 Fig10'!$E$9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cat>
            <c:strRef>
              <c:f>('Fig1, Fig3 Fig4 Fig8 Fig9 Fig10'!$B$10;'Fig1, Fig3 Fig4 Fig8 Fig9 Fig10'!$B$13)</c:f>
              <c:strCache>
                <c:ptCount val="2"/>
                <c:pt idx="0">
                  <c:v>Benigno</c:v>
                </c:pt>
                <c:pt idx="1">
                  <c:v>Maligno</c:v>
                </c:pt>
              </c:strCache>
            </c:strRef>
          </c:cat>
          <c:val>
            <c:numRef>
              <c:f>('Fig1, Fig3 Fig4 Fig8 Fig9 Fig10'!$E$11;'Fig1, Fig3 Fig4 Fig8 Fig9 Fig10'!$E$14)</c:f>
              <c:numCache>
                <c:formatCode>General</c:formatCode>
                <c:ptCount val="2"/>
                <c:pt idx="0">
                  <c:v>40</c:v>
                </c:pt>
                <c:pt idx="1">
                  <c:v>42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250151296"/>
        <c:axId val="250153216"/>
        <c:axId val="0"/>
      </c:bar3DChart>
      <c:catAx>
        <c:axId val="2501512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Diagnóstico anátomo-patológico</a:t>
                </a:r>
              </a:p>
            </c:rich>
          </c:tx>
          <c:layout>
            <c:manualLayout>
              <c:xMode val="edge"/>
              <c:yMode val="edge"/>
              <c:x val="0.15506756361244117"/>
              <c:y val="0.7395323254907553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50153216"/>
        <c:crosses val="autoZero"/>
        <c:auto val="1"/>
        <c:lblAlgn val="ctr"/>
        <c:lblOffset val="100"/>
        <c:noMultiLvlLbl val="0"/>
      </c:catAx>
      <c:valAx>
        <c:axId val="25015321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Percentagem de casos (%)</a:t>
                </a:r>
              </a:p>
            </c:rich>
          </c:tx>
          <c:layout>
            <c:manualLayout>
              <c:xMode val="edge"/>
              <c:yMode val="edge"/>
              <c:x val="2.9351624015748038E-2"/>
              <c:y val="0.10027961851303241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5015129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 baseline="0"/>
          </a:pPr>
          <a:endParaRPr lang="pt-PT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percentagem de casos</c:v>
          </c:tx>
          <c:spPr>
            <a:solidFill>
              <a:srgbClr val="002060"/>
            </a:solidFill>
          </c:spPr>
          <c:invertIfNegative val="0"/>
          <c:cat>
            <c:strRef>
              <c:f>'Fig2 Fig7'!$C$8:$C$11</c:f>
              <c:strCache>
                <c:ptCount val="4"/>
                <c:pt idx="0">
                  <c:v>Inf</c:v>
                </c:pt>
                <c:pt idx="1">
                  <c:v>AJ </c:v>
                </c:pt>
                <c:pt idx="2">
                  <c:v>IM</c:v>
                </c:pt>
                <c:pt idx="3">
                  <c:v>Id</c:v>
                </c:pt>
              </c:strCache>
            </c:strRef>
          </c:cat>
          <c:val>
            <c:numRef>
              <c:f>'Fig2 Fig7'!$E$8:$E$11</c:f>
              <c:numCache>
                <c:formatCode>General</c:formatCode>
                <c:ptCount val="4"/>
                <c:pt idx="0">
                  <c:v>3</c:v>
                </c:pt>
                <c:pt idx="1">
                  <c:v>8.3000000000000007</c:v>
                </c:pt>
                <c:pt idx="2">
                  <c:v>45.4</c:v>
                </c:pt>
                <c:pt idx="3">
                  <c:v>43.4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245820800"/>
        <c:axId val="250222080"/>
        <c:axId val="0"/>
      </c:bar3DChart>
      <c:catAx>
        <c:axId val="2458208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PT"/>
                  <a:t>Faixa</a:t>
                </a:r>
                <a:r>
                  <a:rPr lang="pt-PT" baseline="0"/>
                  <a:t> etária</a:t>
                </a:r>
                <a:endParaRPr lang="pt-PT"/>
              </a:p>
            </c:rich>
          </c:tx>
          <c:overlay val="0"/>
        </c:title>
        <c:majorTickMark val="none"/>
        <c:minorTickMark val="none"/>
        <c:tickLblPos val="nextTo"/>
        <c:crossAx val="250222080"/>
        <c:crosses val="autoZero"/>
        <c:auto val="1"/>
        <c:lblAlgn val="ctr"/>
        <c:lblOffset val="100"/>
        <c:noMultiLvlLbl val="0"/>
      </c:catAx>
      <c:valAx>
        <c:axId val="25022208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Percentagem de casos (%)</a:t>
                </a:r>
              </a:p>
            </c:rich>
          </c:tx>
          <c:layout>
            <c:manualLayout>
              <c:xMode val="edge"/>
              <c:yMode val="edge"/>
              <c:x val="4.4756159512319024E-2"/>
              <c:y val="0.10659701683631011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458208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349010187285911"/>
          <c:y val="0.16460811400391917"/>
          <c:w val="0.60004021531206897"/>
          <c:h val="0.562540267686954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'Fig1, Fig3 Fig4 Fig8 Fig9 Fig10'!$E$28</c:f>
              <c:strCache>
                <c:ptCount val="1"/>
                <c:pt idx="0">
                  <c:v>Infantil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('Fig1, Fig3 Fig4 Fig8 Fig9 Fig10'!$C$29;'Fig1, Fig3 Fig4 Fig8 Fig9 Fig10'!$C$32)</c:f>
              <c:strCache>
                <c:ptCount val="2"/>
                <c:pt idx="0">
                  <c:v>Benigno</c:v>
                </c:pt>
                <c:pt idx="1">
                  <c:v>Maligno</c:v>
                </c:pt>
              </c:strCache>
            </c:strRef>
          </c:cat>
          <c:val>
            <c:numRef>
              <c:f>('Fig1, Fig3 Fig4 Fig8 Fig9 Fig10'!$E$30;'Fig1, Fig3 Fig4 Fig8 Fig9 Fig10'!$E$33)</c:f>
              <c:numCache>
                <c:formatCode>General</c:formatCode>
                <c:ptCount val="2"/>
                <c:pt idx="0">
                  <c:v>3.8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'Fig1, Fig3 Fig4 Fig8 Fig9 Fig10'!$F$28</c:f>
              <c:strCache>
                <c:ptCount val="1"/>
                <c:pt idx="0">
                  <c:v>Adultos Jovens</c:v>
                </c:pt>
              </c:strCache>
            </c:strRef>
          </c:tx>
          <c:spPr>
            <a:solidFill>
              <a:srgbClr val="66FF33"/>
            </a:solidFill>
          </c:spPr>
          <c:invertIfNegative val="0"/>
          <c:cat>
            <c:strRef>
              <c:f>('Fig1, Fig3 Fig4 Fig8 Fig9 Fig10'!$C$29;'Fig1, Fig3 Fig4 Fig8 Fig9 Fig10'!$C$32)</c:f>
              <c:strCache>
                <c:ptCount val="2"/>
                <c:pt idx="0">
                  <c:v>Benigno</c:v>
                </c:pt>
                <c:pt idx="1">
                  <c:v>Maligno</c:v>
                </c:pt>
              </c:strCache>
            </c:strRef>
          </c:cat>
          <c:val>
            <c:numRef>
              <c:f>('Fig1, Fig3 Fig4 Fig8 Fig9 Fig10'!$F$30;'Fig1, Fig3 Fig4 Fig8 Fig9 Fig10'!$F$33)</c:f>
              <c:numCache>
                <c:formatCode>General</c:formatCode>
                <c:ptCount val="2"/>
                <c:pt idx="0">
                  <c:v>10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'Fig1, Fig3 Fig4 Fig8 Fig9 Fig10'!$G$28</c:f>
              <c:strCache>
                <c:ptCount val="1"/>
                <c:pt idx="0">
                  <c:v>Idade Média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cat>
            <c:strRef>
              <c:f>('Fig1, Fig3 Fig4 Fig8 Fig9 Fig10'!$C$29;'Fig1, Fig3 Fig4 Fig8 Fig9 Fig10'!$C$32)</c:f>
              <c:strCache>
                <c:ptCount val="2"/>
                <c:pt idx="0">
                  <c:v>Benigno</c:v>
                </c:pt>
                <c:pt idx="1">
                  <c:v>Maligno</c:v>
                </c:pt>
              </c:strCache>
            </c:strRef>
          </c:cat>
          <c:val>
            <c:numRef>
              <c:f>('Fig1, Fig3 Fig4 Fig8 Fig9 Fig10'!$G$30;'Fig1, Fig3 Fig4 Fig8 Fig9 Fig10'!$G$33)</c:f>
              <c:numCache>
                <c:formatCode>General</c:formatCode>
                <c:ptCount val="2"/>
                <c:pt idx="0">
                  <c:v>49</c:v>
                </c:pt>
                <c:pt idx="1">
                  <c:v>32.5</c:v>
                </c:pt>
              </c:numCache>
            </c:numRef>
          </c:val>
        </c:ser>
        <c:ser>
          <c:idx val="3"/>
          <c:order val="3"/>
          <c:tx>
            <c:strRef>
              <c:f>'Fig1, Fig3 Fig4 Fig8 Fig9 Fig10'!$H$28</c:f>
              <c:strCache>
                <c:ptCount val="1"/>
                <c:pt idx="0">
                  <c:v>Idosos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('Fig1, Fig3 Fig4 Fig8 Fig9 Fig10'!$C$29;'Fig1, Fig3 Fig4 Fig8 Fig9 Fig10'!$C$32)</c:f>
              <c:strCache>
                <c:ptCount val="2"/>
                <c:pt idx="0">
                  <c:v>Benigno</c:v>
                </c:pt>
                <c:pt idx="1">
                  <c:v>Maligno</c:v>
                </c:pt>
              </c:strCache>
            </c:strRef>
          </c:cat>
          <c:val>
            <c:numRef>
              <c:f>('Fig1, Fig3 Fig4 Fig8 Fig9 Fig10'!$H$30;'Fig1, Fig3 Fig4 Fig8 Fig9 Fig10'!$H$33)</c:f>
              <c:numCache>
                <c:formatCode>General</c:formatCode>
                <c:ptCount val="2"/>
                <c:pt idx="0">
                  <c:v>37.1</c:v>
                </c:pt>
                <c:pt idx="1">
                  <c:v>65.5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250394496"/>
        <c:axId val="250400768"/>
        <c:axId val="0"/>
      </c:bar3DChart>
      <c:catAx>
        <c:axId val="2503944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Diagnóstico anátomo-patológico</a:t>
                </a:r>
              </a:p>
            </c:rich>
          </c:tx>
          <c:layout>
            <c:manualLayout>
              <c:xMode val="edge"/>
              <c:yMode val="edge"/>
              <c:x val="0.12637145780506251"/>
              <c:y val="0.84240124914636205"/>
            </c:manualLayout>
          </c:layout>
          <c:overlay val="0"/>
        </c:title>
        <c:majorTickMark val="none"/>
        <c:minorTickMark val="none"/>
        <c:tickLblPos val="nextTo"/>
        <c:crossAx val="250400768"/>
        <c:crosses val="autoZero"/>
        <c:auto val="1"/>
        <c:lblAlgn val="ctr"/>
        <c:lblOffset val="100"/>
        <c:noMultiLvlLbl val="0"/>
      </c:catAx>
      <c:valAx>
        <c:axId val="25040076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Percentagem de casos (%)</a:t>
                </a:r>
              </a:p>
            </c:rich>
          </c:tx>
          <c:layout>
            <c:manualLayout>
              <c:xMode val="edge"/>
              <c:yMode val="edge"/>
              <c:x val="1.4824146981627297E-2"/>
              <c:y val="0.13316155755041725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50394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597197384225278"/>
          <c:y val="0.20858674223084347"/>
          <c:w val="0.22690938208995062"/>
          <c:h val="0.68345500096815781"/>
        </c:manualLayout>
      </c:layout>
      <c:overlay val="0"/>
      <c:txPr>
        <a:bodyPr/>
        <a:lstStyle/>
        <a:p>
          <a:pPr>
            <a:defRPr sz="800" baseline="0"/>
          </a:pPr>
          <a:endParaRPr lang="pt-PT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87694395343438"/>
          <c:y val="0.15787748229584508"/>
          <c:w val="0.71342010820076063"/>
          <c:h val="0.451316792948051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'Fig1, Fig3 Fig4 Fig8 Fig9 Fig10'!$C$29</c:f>
              <c:strCache>
                <c:ptCount val="1"/>
                <c:pt idx="0">
                  <c:v>Benigno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'Fig1, Fig3 Fig4 Fig8 Fig9 Fig10'!$E$28:$H$28</c:f>
              <c:strCache>
                <c:ptCount val="4"/>
                <c:pt idx="0">
                  <c:v>Infantil</c:v>
                </c:pt>
                <c:pt idx="1">
                  <c:v>Adultos Jovens</c:v>
                </c:pt>
                <c:pt idx="2">
                  <c:v>Idade Média</c:v>
                </c:pt>
                <c:pt idx="3">
                  <c:v>Idosos</c:v>
                </c:pt>
              </c:strCache>
            </c:strRef>
          </c:cat>
          <c:val>
            <c:numRef>
              <c:f>('Fig1, Fig3 Fig4 Fig8 Fig9 Fig10'!$E$31;'Fig1, Fig3 Fig4 Fig8 Fig9 Fig10'!$F$31;'Fig1, Fig3 Fig4 Fig8 Fig9 Fig10'!$G$31;'Fig1, Fig3 Fig4 Fig8 Fig9 Fig10'!$H$31)</c:f>
              <c:numCache>
                <c:formatCode>General</c:formatCode>
                <c:ptCount val="4"/>
                <c:pt idx="0">
                  <c:v>100</c:v>
                </c:pt>
                <c:pt idx="1">
                  <c:v>94.7</c:v>
                </c:pt>
                <c:pt idx="2">
                  <c:v>84.3</c:v>
                </c:pt>
                <c:pt idx="3">
                  <c:v>66.900000000000006</c:v>
                </c:pt>
              </c:numCache>
            </c:numRef>
          </c:val>
        </c:ser>
        <c:ser>
          <c:idx val="1"/>
          <c:order val="1"/>
          <c:tx>
            <c:strRef>
              <c:f>'Fig1, Fig3 Fig4 Fig8 Fig9 Fig10'!$C$32</c:f>
              <c:strCache>
                <c:ptCount val="1"/>
                <c:pt idx="0">
                  <c:v>Maligno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cat>
            <c:strRef>
              <c:f>'Fig1, Fig3 Fig4 Fig8 Fig9 Fig10'!$E$28:$H$28</c:f>
              <c:strCache>
                <c:ptCount val="4"/>
                <c:pt idx="0">
                  <c:v>Infantil</c:v>
                </c:pt>
                <c:pt idx="1">
                  <c:v>Adultos Jovens</c:v>
                </c:pt>
                <c:pt idx="2">
                  <c:v>Idade Média</c:v>
                </c:pt>
                <c:pt idx="3">
                  <c:v>Idosos</c:v>
                </c:pt>
              </c:strCache>
            </c:strRef>
          </c:cat>
          <c:val>
            <c:numRef>
              <c:f>('Fig1, Fig3 Fig4 Fig8 Fig9 Fig10'!$E$34;'Fig1, Fig3 Fig4 Fig8 Fig9 Fig10'!$F$34;'Fig1, Fig3 Fig4 Fig8 Fig9 Fig10'!$G$34;'Fig1, Fig3 Fig4 Fig8 Fig9 Fig10'!$H$34)</c:f>
              <c:numCache>
                <c:formatCode>General</c:formatCode>
                <c:ptCount val="4"/>
                <c:pt idx="0">
                  <c:v>0</c:v>
                </c:pt>
                <c:pt idx="1">
                  <c:v>5.3</c:v>
                </c:pt>
                <c:pt idx="2">
                  <c:v>15.7</c:v>
                </c:pt>
                <c:pt idx="3">
                  <c:v>33.1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250039296"/>
        <c:axId val="250041472"/>
        <c:axId val="0"/>
      </c:bar3DChart>
      <c:catAx>
        <c:axId val="2500392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Faixa etária </a:t>
                </a:r>
              </a:p>
            </c:rich>
          </c:tx>
          <c:overlay val="0"/>
        </c:title>
        <c:majorTickMark val="none"/>
        <c:minorTickMark val="none"/>
        <c:tickLblPos val="nextTo"/>
        <c:txPr>
          <a:bodyPr/>
          <a:lstStyle/>
          <a:p>
            <a:pPr>
              <a:defRPr sz="850" baseline="0"/>
            </a:pPr>
            <a:endParaRPr lang="pt-PT"/>
          </a:p>
        </c:txPr>
        <c:crossAx val="250041472"/>
        <c:crosses val="autoZero"/>
        <c:auto val="1"/>
        <c:lblAlgn val="ctr"/>
        <c:lblOffset val="100"/>
        <c:noMultiLvlLbl val="0"/>
      </c:catAx>
      <c:valAx>
        <c:axId val="25004147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Percentagem de casos (%)</a:t>
                </a:r>
              </a:p>
            </c:rich>
          </c:tx>
          <c:layout>
            <c:manualLayout>
              <c:xMode val="edge"/>
              <c:yMode val="edge"/>
              <c:x val="4.2743228525005804E-2"/>
              <c:y val="7.6116476006536898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5003929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50" baseline="0"/>
          </a:pPr>
          <a:endParaRPr lang="pt-PT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098481626124462"/>
          <c:y val="0.13706988951962401"/>
          <c:w val="0.68119998590175157"/>
          <c:h val="0.408362642169728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'Fig5. Fig6'!$C$73</c:f>
              <c:strCache>
                <c:ptCount val="1"/>
                <c:pt idx="0">
                  <c:v>Olho direito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('Fig5. Fig6'!$A$74;'Fig5. Fig6'!$A$77)</c:f>
              <c:strCache>
                <c:ptCount val="2"/>
                <c:pt idx="0">
                  <c:v>Benigno</c:v>
                </c:pt>
                <c:pt idx="1">
                  <c:v>Maligno</c:v>
                </c:pt>
              </c:strCache>
            </c:strRef>
          </c:cat>
          <c:val>
            <c:numRef>
              <c:f>('Fig5. Fig6'!$C$74;'Fig5. Fig6'!$C$77)</c:f>
              <c:numCache>
                <c:formatCode>General</c:formatCode>
                <c:ptCount val="2"/>
                <c:pt idx="0">
                  <c:v>43.3</c:v>
                </c:pt>
                <c:pt idx="1">
                  <c:v>49.2</c:v>
                </c:pt>
              </c:numCache>
            </c:numRef>
          </c:val>
        </c:ser>
        <c:ser>
          <c:idx val="1"/>
          <c:order val="1"/>
          <c:tx>
            <c:strRef>
              <c:f>'Fig5. Fig6'!$D$73</c:f>
              <c:strCache>
                <c:ptCount val="1"/>
                <c:pt idx="0">
                  <c:v>Olho esquerdo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('Fig5. Fig6'!$A$74;'Fig5. Fig6'!$A$77)</c:f>
              <c:strCache>
                <c:ptCount val="2"/>
                <c:pt idx="0">
                  <c:v>Benigno</c:v>
                </c:pt>
                <c:pt idx="1">
                  <c:v>Maligno</c:v>
                </c:pt>
              </c:strCache>
            </c:strRef>
          </c:cat>
          <c:val>
            <c:numRef>
              <c:f>('Fig5. Fig6'!$D$74;'Fig5. Fig6'!$D$77)</c:f>
              <c:numCache>
                <c:formatCode>General</c:formatCode>
                <c:ptCount val="2"/>
                <c:pt idx="0">
                  <c:v>43.8</c:v>
                </c:pt>
                <c:pt idx="1">
                  <c:v>48.3</c:v>
                </c:pt>
              </c:numCache>
            </c:numRef>
          </c:val>
        </c:ser>
        <c:ser>
          <c:idx val="2"/>
          <c:order val="2"/>
          <c:tx>
            <c:strRef>
              <c:f>'Fig5. Fig6'!$E$73</c:f>
              <c:strCache>
                <c:ptCount val="1"/>
                <c:pt idx="0">
                  <c:v>Bilateral</c:v>
                </c:pt>
              </c:strCache>
            </c:strRef>
          </c:tx>
          <c:spPr>
            <a:solidFill>
              <a:srgbClr val="66FF33"/>
            </a:solidFill>
          </c:spPr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pt-P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('Fig5. Fig6'!$A$74;'Fig5. Fig6'!$A$77)</c:f>
              <c:strCache>
                <c:ptCount val="2"/>
                <c:pt idx="0">
                  <c:v>Benigno</c:v>
                </c:pt>
                <c:pt idx="1">
                  <c:v>Maligno</c:v>
                </c:pt>
              </c:strCache>
            </c:strRef>
          </c:cat>
          <c:val>
            <c:numRef>
              <c:f>('Fig5. Fig6'!$E$74;'Fig5. Fig6'!$E$77)</c:f>
              <c:numCache>
                <c:formatCode>General</c:formatCode>
                <c:ptCount val="2"/>
                <c:pt idx="0">
                  <c:v>12.9</c:v>
                </c:pt>
                <c:pt idx="1">
                  <c:v>2.5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249924992"/>
        <c:axId val="249931264"/>
        <c:axId val="0"/>
      </c:bar3DChart>
      <c:catAx>
        <c:axId val="2499249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PT"/>
                  <a:t>Diagnóstico</a:t>
                </a:r>
                <a:r>
                  <a:rPr lang="pt-PT" baseline="0"/>
                  <a:t> anátomo-patológico</a:t>
                </a:r>
                <a:endParaRPr lang="pt-PT"/>
              </a:p>
            </c:rich>
          </c:tx>
          <c:overlay val="0"/>
        </c:title>
        <c:majorTickMark val="none"/>
        <c:minorTickMark val="none"/>
        <c:tickLblPos val="nextTo"/>
        <c:crossAx val="249931264"/>
        <c:crosses val="autoZero"/>
        <c:auto val="1"/>
        <c:lblAlgn val="ctr"/>
        <c:lblOffset val="100"/>
        <c:noMultiLvlLbl val="0"/>
      </c:catAx>
      <c:valAx>
        <c:axId val="24993126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PT"/>
                  <a:t>Percentagem</a:t>
                </a:r>
                <a:r>
                  <a:rPr lang="pt-PT" baseline="0"/>
                  <a:t> de casos (%)</a:t>
                </a:r>
                <a:endParaRPr lang="pt-PT"/>
              </a:p>
            </c:rich>
          </c:tx>
          <c:layout>
            <c:manualLayout>
              <c:xMode val="edge"/>
              <c:yMode val="edge"/>
              <c:x val="6.0252864175439381E-2"/>
              <c:y val="5.5714338033327232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4992499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 baseline="0"/>
          </a:pPr>
          <a:endParaRPr lang="pt-PT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5337570755462796E-2"/>
          <c:y val="0.16723182859196212"/>
          <c:w val="0.46660913961097328"/>
          <c:h val="0.70231967131495665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</c:spPr>
          </c:dPt>
          <c:dPt>
            <c:idx val="1"/>
            <c:bubble3D val="0"/>
            <c:spPr>
              <a:solidFill>
                <a:srgbClr val="66FF33"/>
              </a:solidFill>
            </c:spPr>
          </c:dPt>
          <c:dPt>
            <c:idx val="2"/>
            <c:bubble3D val="0"/>
            <c:spPr>
              <a:solidFill>
                <a:schemeClr val="tx2"/>
              </a:solidFill>
            </c:spPr>
          </c:dPt>
          <c:dPt>
            <c:idx val="3"/>
            <c:bubble3D val="0"/>
            <c:spPr>
              <a:solidFill>
                <a:srgbClr val="00B0F0"/>
              </a:solidFill>
            </c:spPr>
          </c:dPt>
          <c:dPt>
            <c:idx val="4"/>
            <c:bubble3D val="0"/>
            <c:spPr>
              <a:solidFill>
                <a:srgbClr val="FFC000"/>
              </a:solidFill>
            </c:spPr>
          </c:dPt>
          <c:dLbls>
            <c:dLbl>
              <c:idx val="5"/>
              <c:delete val="1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'[Gráficos.xlsx]Fig2 Fig7'!$C$20:$C$25;'[Gráficos.xlsx]Fig2 Fig7'!$B$133</c:f>
              <c:strCache>
                <c:ptCount val="6"/>
                <c:pt idx="0">
                  <c:v>Pálpebra superior</c:v>
                </c:pt>
                <c:pt idx="1">
                  <c:v>Pálpebra inferior</c:v>
                </c:pt>
                <c:pt idx="2">
                  <c:v>Canto externo</c:v>
                </c:pt>
                <c:pt idx="3">
                  <c:v>Canto interno</c:v>
                </c:pt>
                <c:pt idx="4">
                  <c:v>Pálpebra superior e inferior </c:v>
                </c:pt>
                <c:pt idx="5">
                  <c:v>Todas as áreas</c:v>
                </c:pt>
              </c:strCache>
            </c:strRef>
          </c:cat>
          <c:val>
            <c:numRef>
              <c:f>'[Gráficos.xlsx]Fig2 Fig7'!$E$20:$E$25;'[Gráficos.xlsx]Fig2 Fig7'!$D$133</c:f>
              <c:numCache>
                <c:formatCode>General</c:formatCode>
                <c:ptCount val="7"/>
                <c:pt idx="0">
                  <c:v>33.5</c:v>
                </c:pt>
                <c:pt idx="1">
                  <c:v>36.200000000000003</c:v>
                </c:pt>
                <c:pt idx="2">
                  <c:v>7.4</c:v>
                </c:pt>
                <c:pt idx="3">
                  <c:v>14.9</c:v>
                </c:pt>
                <c:pt idx="4">
                  <c:v>6.9</c:v>
                </c:pt>
                <c:pt idx="5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egendEntry>
        <c:idx val="6"/>
        <c:delete val="1"/>
      </c:legendEntry>
      <c:layout>
        <c:manualLayout>
          <c:xMode val="edge"/>
          <c:yMode val="edge"/>
          <c:x val="0.60898932154028695"/>
          <c:y val="0.15062710785735622"/>
          <c:w val="0.31217962240701219"/>
          <c:h val="0.81360416993824014"/>
        </c:manualLayout>
      </c:layout>
      <c:overlay val="0"/>
      <c:txPr>
        <a:bodyPr/>
        <a:lstStyle/>
        <a:p>
          <a:pPr>
            <a:defRPr sz="800" baseline="0"/>
          </a:pPr>
          <a:endParaRPr lang="pt-PT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984787615833737"/>
          <c:y val="0.114376800460918"/>
          <c:w val="0.80151534456251217"/>
          <c:h val="0.5590605327857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'Fig1, Fig3 Fig4 Fig8 Fig9 Fig10'!$D$53</c:f>
              <c:strCache>
                <c:ptCount val="1"/>
                <c:pt idx="0">
                  <c:v>PS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('Fig1, Fig3 Fig4 Fig8 Fig9 Fig10'!$B$54;'Fig1, Fig3 Fig4 Fig8 Fig9 Fig10'!$B$57)</c:f>
              <c:strCache>
                <c:ptCount val="2"/>
                <c:pt idx="0">
                  <c:v>Benigno</c:v>
                </c:pt>
                <c:pt idx="1">
                  <c:v>Maligno</c:v>
                </c:pt>
              </c:strCache>
            </c:strRef>
          </c:cat>
          <c:val>
            <c:numRef>
              <c:f>('Fig1, Fig3 Fig4 Fig8 Fig9 Fig10'!$D$55;'Fig1, Fig3 Fig4 Fig8 Fig9 Fig10'!$D$58)</c:f>
              <c:numCache>
                <c:formatCode>General</c:formatCode>
                <c:ptCount val="2"/>
                <c:pt idx="0">
                  <c:v>40.6</c:v>
                </c:pt>
                <c:pt idx="1">
                  <c:v>9.6999999999999993</c:v>
                </c:pt>
              </c:numCache>
            </c:numRef>
          </c:val>
        </c:ser>
        <c:ser>
          <c:idx val="1"/>
          <c:order val="1"/>
          <c:tx>
            <c:strRef>
              <c:f>'Fig1, Fig3 Fig4 Fig8 Fig9 Fig10'!$E$53</c:f>
              <c:strCache>
                <c:ptCount val="1"/>
                <c:pt idx="0">
                  <c:v>PI</c:v>
                </c:pt>
              </c:strCache>
            </c:strRef>
          </c:tx>
          <c:spPr>
            <a:solidFill>
              <a:srgbClr val="66FF33"/>
            </a:solidFill>
          </c:spPr>
          <c:invertIfNegative val="0"/>
          <c:cat>
            <c:strRef>
              <c:f>('Fig1, Fig3 Fig4 Fig8 Fig9 Fig10'!$B$54;'Fig1, Fig3 Fig4 Fig8 Fig9 Fig10'!$B$57)</c:f>
              <c:strCache>
                <c:ptCount val="2"/>
                <c:pt idx="0">
                  <c:v>Benigno</c:v>
                </c:pt>
                <c:pt idx="1">
                  <c:v>Maligno</c:v>
                </c:pt>
              </c:strCache>
            </c:strRef>
          </c:cat>
          <c:val>
            <c:numRef>
              <c:f>('Fig1, Fig3 Fig4 Fig8 Fig9 Fig10'!$E$55;'Fig1, Fig3 Fig4 Fig8 Fig9 Fig10'!$E$58)</c:f>
              <c:numCache>
                <c:formatCode>General</c:formatCode>
                <c:ptCount val="2"/>
                <c:pt idx="0">
                  <c:v>30.7</c:v>
                </c:pt>
                <c:pt idx="1">
                  <c:v>58.2</c:v>
                </c:pt>
              </c:numCache>
            </c:numRef>
          </c:val>
        </c:ser>
        <c:ser>
          <c:idx val="2"/>
          <c:order val="2"/>
          <c:tx>
            <c:strRef>
              <c:f>'Fig1, Fig3 Fig4 Fig8 Fig9 Fig10'!$F$53</c:f>
              <c:strCache>
                <c:ptCount val="1"/>
                <c:pt idx="0">
                  <c:v>CE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cat>
            <c:strRef>
              <c:f>('Fig1, Fig3 Fig4 Fig8 Fig9 Fig10'!$B$54;'Fig1, Fig3 Fig4 Fig8 Fig9 Fig10'!$B$57)</c:f>
              <c:strCache>
                <c:ptCount val="2"/>
                <c:pt idx="0">
                  <c:v>Benigno</c:v>
                </c:pt>
                <c:pt idx="1">
                  <c:v>Maligno</c:v>
                </c:pt>
              </c:strCache>
            </c:strRef>
          </c:cat>
          <c:val>
            <c:numRef>
              <c:f>('Fig1, Fig3 Fig4 Fig8 Fig9 Fig10'!$F$55;'Fig1, Fig3 Fig4 Fig8 Fig9 Fig10'!$F$58)</c:f>
              <c:numCache>
                <c:formatCode>General</c:formatCode>
                <c:ptCount val="2"/>
                <c:pt idx="0">
                  <c:v>8.1999999999999993</c:v>
                </c:pt>
                <c:pt idx="1">
                  <c:v>4.3</c:v>
                </c:pt>
              </c:numCache>
            </c:numRef>
          </c:val>
        </c:ser>
        <c:ser>
          <c:idx val="3"/>
          <c:order val="3"/>
          <c:tx>
            <c:strRef>
              <c:f>'Fig1, Fig3 Fig4 Fig8 Fig9 Fig10'!$G$53</c:f>
              <c:strCache>
                <c:ptCount val="1"/>
                <c:pt idx="0">
                  <c:v>CI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('Fig1, Fig3 Fig4 Fig8 Fig9 Fig10'!$B$54;'Fig1, Fig3 Fig4 Fig8 Fig9 Fig10'!$B$57)</c:f>
              <c:strCache>
                <c:ptCount val="2"/>
                <c:pt idx="0">
                  <c:v>Benigno</c:v>
                </c:pt>
                <c:pt idx="1">
                  <c:v>Maligno</c:v>
                </c:pt>
              </c:strCache>
            </c:strRef>
          </c:cat>
          <c:val>
            <c:numRef>
              <c:f>('Fig1, Fig3 Fig4 Fig8 Fig9 Fig10'!$G$55;'Fig1, Fig3 Fig4 Fig8 Fig9 Fig10'!$G$58)</c:f>
              <c:numCache>
                <c:formatCode>General</c:formatCode>
                <c:ptCount val="2"/>
                <c:pt idx="0">
                  <c:v>12.5</c:v>
                </c:pt>
                <c:pt idx="1">
                  <c:v>23.6</c:v>
                </c:pt>
              </c:numCache>
            </c:numRef>
          </c:val>
        </c:ser>
        <c:ser>
          <c:idx val="4"/>
          <c:order val="4"/>
          <c:tx>
            <c:strRef>
              <c:f>'Fig1, Fig3 Fig4 Fig8 Fig9 Fig10'!$H$53</c:f>
              <c:strCache>
                <c:ptCount val="1"/>
                <c:pt idx="0">
                  <c:v>PS + PI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('Fig1, Fig3 Fig4 Fig8 Fig9 Fig10'!$B$54;'Fig1, Fig3 Fig4 Fig8 Fig9 Fig10'!$B$57)</c:f>
              <c:strCache>
                <c:ptCount val="2"/>
                <c:pt idx="0">
                  <c:v>Benigno</c:v>
                </c:pt>
                <c:pt idx="1">
                  <c:v>Maligno</c:v>
                </c:pt>
              </c:strCache>
            </c:strRef>
          </c:cat>
          <c:val>
            <c:numRef>
              <c:f>('Fig1, Fig3 Fig4 Fig8 Fig9 Fig10'!$H$55;'Fig1, Fig3 Fig4 Fig8 Fig9 Fig10'!$H$58)</c:f>
              <c:numCache>
                <c:formatCode>General</c:formatCode>
                <c:ptCount val="2"/>
                <c:pt idx="0">
                  <c:v>7.8</c:v>
                </c:pt>
                <c:pt idx="1">
                  <c:v>3.7</c:v>
                </c:pt>
              </c:numCache>
            </c:numRef>
          </c:val>
        </c:ser>
        <c:ser>
          <c:idx val="5"/>
          <c:order val="5"/>
          <c:tx>
            <c:strRef>
              <c:f>'Fig1, Fig3 Fig4 Fig8 Fig9 Fig10'!$I$53</c:f>
              <c:strCache>
                <c:ptCount val="1"/>
                <c:pt idx="0">
                  <c:v>TA</c:v>
                </c:pt>
              </c:strCache>
            </c:strRef>
          </c:tx>
          <c:invertIfNegative val="0"/>
          <c:cat>
            <c:strRef>
              <c:f>('Fig1, Fig3 Fig4 Fig8 Fig9 Fig10'!$B$54;'Fig1, Fig3 Fig4 Fig8 Fig9 Fig10'!$B$57)</c:f>
              <c:strCache>
                <c:ptCount val="2"/>
                <c:pt idx="0">
                  <c:v>Benigno</c:v>
                </c:pt>
                <c:pt idx="1">
                  <c:v>Maligno</c:v>
                </c:pt>
              </c:strCache>
            </c:strRef>
          </c:cat>
          <c:val>
            <c:numRef>
              <c:f>('Fig1, Fig3 Fig4 Fig8 Fig9 Fig10'!$I$55;'Fig1, Fig3 Fig4 Fig8 Fig9 Fig10'!$I$58)</c:f>
              <c:numCache>
                <c:formatCode>General</c:formatCode>
                <c:ptCount val="2"/>
                <c:pt idx="0">
                  <c:v>0.2</c:v>
                </c:pt>
                <c:pt idx="1">
                  <c:v>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249226752"/>
        <c:axId val="249228672"/>
        <c:axId val="0"/>
      </c:bar3DChart>
      <c:catAx>
        <c:axId val="2492267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Diagnóstico anátomo-patológico</a:t>
                </a:r>
              </a:p>
            </c:rich>
          </c:tx>
          <c:overlay val="0"/>
        </c:title>
        <c:majorTickMark val="none"/>
        <c:minorTickMark val="none"/>
        <c:tickLblPos val="nextTo"/>
        <c:crossAx val="249228672"/>
        <c:crosses val="autoZero"/>
        <c:auto val="1"/>
        <c:lblAlgn val="ctr"/>
        <c:lblOffset val="100"/>
        <c:noMultiLvlLbl val="0"/>
      </c:catAx>
      <c:valAx>
        <c:axId val="24922867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Percentagem de casos (%)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4922675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900" baseline="0"/>
          </a:pPr>
          <a:endParaRPr lang="pt-PT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'Fig1, Fig3 Fig4 Fig8 Fig9 Fig10'!$C$70</c:f>
              <c:strCache>
                <c:ptCount val="1"/>
                <c:pt idx="0">
                  <c:v>Com bilateralidade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'Fig1, Fig3 Fig4 Fig8 Fig9 Fig10'!$B$71:$B$72</c:f>
              <c:strCache>
                <c:ptCount val="2"/>
                <c:pt idx="0">
                  <c:v>Benigno</c:v>
                </c:pt>
                <c:pt idx="1">
                  <c:v>Maligno</c:v>
                </c:pt>
              </c:strCache>
            </c:strRef>
          </c:cat>
          <c:val>
            <c:numRef>
              <c:f>('Fig1, Fig3 Fig4 Fig8 Fig9 Fig10'!$C$71;'Fig1, Fig3 Fig4 Fig8 Fig9 Fig10'!$C$72)</c:f>
              <c:numCache>
                <c:formatCode>General</c:formatCode>
                <c:ptCount val="2"/>
                <c:pt idx="0">
                  <c:v>12.8</c:v>
                </c:pt>
                <c:pt idx="1">
                  <c:v>2.5</c:v>
                </c:pt>
              </c:numCache>
            </c:numRef>
          </c:val>
        </c:ser>
        <c:ser>
          <c:idx val="1"/>
          <c:order val="1"/>
          <c:tx>
            <c:strRef>
              <c:f>'Fig1, Fig3 Fig4 Fig8 Fig9 Fig10'!$E$70</c:f>
              <c:strCache>
                <c:ptCount val="1"/>
                <c:pt idx="0">
                  <c:v>Sem bilateralidade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cat>
            <c:strRef>
              <c:f>'Fig1, Fig3 Fig4 Fig8 Fig9 Fig10'!$B$71:$B$72</c:f>
              <c:strCache>
                <c:ptCount val="2"/>
                <c:pt idx="0">
                  <c:v>Benigno</c:v>
                </c:pt>
                <c:pt idx="1">
                  <c:v>Maligno</c:v>
                </c:pt>
              </c:strCache>
            </c:strRef>
          </c:cat>
          <c:val>
            <c:numRef>
              <c:f>('Fig1, Fig3 Fig4 Fig8 Fig9 Fig10'!$E$71;'Fig1, Fig3 Fig4 Fig8 Fig9 Fig10'!$E$72)</c:f>
              <c:numCache>
                <c:formatCode>General</c:formatCode>
                <c:ptCount val="2"/>
                <c:pt idx="0">
                  <c:v>87.2</c:v>
                </c:pt>
                <c:pt idx="1">
                  <c:v>97.5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249841536"/>
        <c:axId val="249856000"/>
        <c:axId val="0"/>
      </c:bar3DChart>
      <c:catAx>
        <c:axId val="2498415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Diagnóstico anátomo-patológico</a:t>
                </a:r>
              </a:p>
            </c:rich>
          </c:tx>
          <c:layout>
            <c:manualLayout>
              <c:xMode val="edge"/>
              <c:yMode val="edge"/>
              <c:x val="0.21696949950221739"/>
              <c:y val="0.68969959323804908"/>
            </c:manualLayout>
          </c:layout>
          <c:overlay val="0"/>
        </c:title>
        <c:majorTickMark val="none"/>
        <c:minorTickMark val="none"/>
        <c:tickLblPos val="nextTo"/>
        <c:crossAx val="249856000"/>
        <c:crosses val="autoZero"/>
        <c:auto val="1"/>
        <c:lblAlgn val="ctr"/>
        <c:lblOffset val="100"/>
        <c:noMultiLvlLbl val="0"/>
      </c:catAx>
      <c:valAx>
        <c:axId val="24985600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Percentagem de casos (%)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4984153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/>
          </a:pPr>
          <a:endParaRPr lang="pt-PT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83228016836737"/>
          <c:y val="6.5501591062179176E-2"/>
          <c:w val="0.63110683303016313"/>
          <c:h val="0.4983685225187559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'Fig1, Fig3 Fig4 Fig8 Fig9 Fig10'!$C$81</c:f>
              <c:strCache>
                <c:ptCount val="1"/>
                <c:pt idx="0">
                  <c:v>Com multifocalidade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'Fig1, Fig3 Fig4 Fig8 Fig9 Fig10'!$B$82:$B$83</c:f>
              <c:strCache>
                <c:ptCount val="2"/>
                <c:pt idx="0">
                  <c:v>Benigno</c:v>
                </c:pt>
                <c:pt idx="1">
                  <c:v>Maligno</c:v>
                </c:pt>
              </c:strCache>
            </c:strRef>
          </c:cat>
          <c:val>
            <c:numRef>
              <c:f>'Fig1, Fig3 Fig4 Fig8 Fig9 Fig10'!$C$82:$C$83</c:f>
              <c:numCache>
                <c:formatCode>General</c:formatCode>
                <c:ptCount val="2"/>
                <c:pt idx="0">
                  <c:v>15.5</c:v>
                </c:pt>
                <c:pt idx="1">
                  <c:v>5.9</c:v>
                </c:pt>
              </c:numCache>
            </c:numRef>
          </c:val>
        </c:ser>
        <c:ser>
          <c:idx val="1"/>
          <c:order val="1"/>
          <c:tx>
            <c:strRef>
              <c:f>'Fig1, Fig3 Fig4 Fig8 Fig9 Fig10'!$E$81</c:f>
              <c:strCache>
                <c:ptCount val="1"/>
                <c:pt idx="0">
                  <c:v>Sem multifocalidade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cat>
            <c:strRef>
              <c:f>'Fig1, Fig3 Fig4 Fig8 Fig9 Fig10'!$B$82:$B$83</c:f>
              <c:strCache>
                <c:ptCount val="2"/>
                <c:pt idx="0">
                  <c:v>Benigno</c:v>
                </c:pt>
                <c:pt idx="1">
                  <c:v>Maligno</c:v>
                </c:pt>
              </c:strCache>
            </c:strRef>
          </c:cat>
          <c:val>
            <c:numRef>
              <c:f>'Fig1, Fig3 Fig4 Fig8 Fig9 Fig10'!$E$82:$E$83</c:f>
              <c:numCache>
                <c:formatCode>General</c:formatCode>
                <c:ptCount val="2"/>
                <c:pt idx="0">
                  <c:v>84.5</c:v>
                </c:pt>
                <c:pt idx="1">
                  <c:v>94.1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249284864"/>
        <c:axId val="249827712"/>
        <c:axId val="0"/>
      </c:bar3DChart>
      <c:catAx>
        <c:axId val="2492848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Diagnóstico anátomo-patológico</a:t>
                </a:r>
              </a:p>
            </c:rich>
          </c:tx>
          <c:layout>
            <c:manualLayout>
              <c:xMode val="edge"/>
              <c:yMode val="edge"/>
              <c:x val="0.16546569178852641"/>
              <c:y val="0.67269365665574987"/>
            </c:manualLayout>
          </c:layout>
          <c:overlay val="0"/>
        </c:title>
        <c:majorTickMark val="none"/>
        <c:minorTickMark val="none"/>
        <c:tickLblPos val="nextTo"/>
        <c:crossAx val="249827712"/>
        <c:crosses val="autoZero"/>
        <c:auto val="1"/>
        <c:lblAlgn val="ctr"/>
        <c:lblOffset val="100"/>
        <c:noMultiLvlLbl val="0"/>
      </c:catAx>
      <c:valAx>
        <c:axId val="24982771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Percentagem de casos (%)</a:t>
                </a:r>
              </a:p>
            </c:rich>
          </c:tx>
          <c:layout>
            <c:manualLayout>
              <c:xMode val="edge"/>
              <c:yMode val="edge"/>
              <c:x val="4.2661188783032301E-2"/>
              <c:y val="3.4360401919457037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492848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157083004386868E-2"/>
          <c:y val="0.80137272663925874"/>
          <c:w val="0.86903352582188953"/>
          <c:h val="9.2432583095254692E-2"/>
        </c:manualLayout>
      </c:layout>
      <c:overlay val="0"/>
      <c:txPr>
        <a:bodyPr/>
        <a:lstStyle/>
        <a:p>
          <a:pPr>
            <a:defRPr sz="800"/>
          </a:pPr>
          <a:endParaRPr lang="pt-PT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967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Bizarro</dc:creator>
  <cp:lastModifiedBy>Marisa Bizarro</cp:lastModifiedBy>
  <cp:revision>5</cp:revision>
  <dcterms:created xsi:type="dcterms:W3CDTF">2014-03-22T23:48:00Z</dcterms:created>
  <dcterms:modified xsi:type="dcterms:W3CDTF">2015-11-12T18:40:00Z</dcterms:modified>
</cp:coreProperties>
</file>